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3C" w:rsidRDefault="002267F3" w:rsidP="002267F3">
      <w:pPr>
        <w:pBdr>
          <w:top w:val="nil"/>
          <w:left w:val="nil"/>
          <w:bottom w:val="nil"/>
          <w:right w:val="nil"/>
          <w:between w:val="nil"/>
        </w:pBdr>
        <w:tabs>
          <w:tab w:val="left" w:pos="8295"/>
        </w:tabs>
        <w:jc w:val="right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                                  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r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      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de </w:t>
      </w:r>
      <w:r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de 2021</w:t>
      </w:r>
    </w:p>
    <w:p w:rsidR="005E684E" w:rsidRDefault="005E68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A82D3C" w:rsidRDefault="00BB02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A la atención de</w:t>
      </w:r>
      <w:r w:rsidR="0042591C">
        <w:rPr>
          <w:rFonts w:ascii="Calibri" w:eastAsia="Calibri" w:hAnsi="Calibri" w:cs="Calibri"/>
          <w:color w:val="000000"/>
          <w:sz w:val="21"/>
          <w:szCs w:val="21"/>
        </w:rPr>
        <w:t>l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Departamento de Responsabilidad Social Corporativa</w:t>
      </w:r>
      <w:r w:rsidR="005E3AAA">
        <w:rPr>
          <w:rFonts w:ascii="Calibri" w:eastAsia="Calibri" w:hAnsi="Calibri" w:cs="Calibri"/>
          <w:color w:val="000000"/>
          <w:sz w:val="21"/>
          <w:szCs w:val="21"/>
        </w:rPr>
        <w:t>,</w:t>
      </w:r>
    </w:p>
    <w:p w:rsidR="00A82D3C" w:rsidRDefault="00A81B9E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Yo</w:t>
      </w:r>
      <w:proofErr w:type="gramStart"/>
      <w:r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r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</w:t>
      </w:r>
      <w:r w:rsidRPr="00091048"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                                                               </w:t>
      </w:r>
      <w:r>
        <w:rPr>
          <w:rFonts w:ascii="Calibri" w:eastAsia="Calibri" w:hAnsi="Calibri" w:cs="Calibri"/>
          <w:color w:val="000000"/>
          <w:sz w:val="21"/>
          <w:szCs w:val="21"/>
        </w:rPr>
        <w:t>,</w:t>
      </w:r>
      <w:proofErr w:type="gramEnd"/>
      <w:r>
        <w:rPr>
          <w:rFonts w:ascii="Calibri" w:eastAsia="Calibri" w:hAnsi="Calibri" w:cs="Calibri"/>
          <w:color w:val="000000"/>
          <w:sz w:val="21"/>
          <w:szCs w:val="21"/>
        </w:rPr>
        <w:t xml:space="preserve"> con</w:t>
      </w:r>
      <w:r w:rsidRPr="00091048">
        <w:rPr>
          <w:rFonts w:ascii="Calibri" w:eastAsia="Calibri" w:hAnsi="Calibri" w:cs="Calibri"/>
          <w:color w:val="000000"/>
          <w:sz w:val="21"/>
          <w:szCs w:val="21"/>
        </w:rPr>
        <w:t xml:space="preserve"> DNI </w:t>
      </w:r>
      <w:r w:rsidRPr="00091048">
        <w:rPr>
          <w:rFonts w:ascii="Calibri" w:eastAsia="Calibri" w:hAnsi="Calibri" w:cs="Calibri"/>
          <w:color w:val="000000"/>
          <w:sz w:val="21"/>
          <w:szCs w:val="21"/>
          <w:u w:val="single"/>
        </w:rPr>
        <w:t xml:space="preserve">                                    </w:t>
      </w:r>
      <w:r w:rsidRPr="00091048">
        <w:rPr>
          <w:rFonts w:ascii="Calibri" w:eastAsia="Calibri" w:hAnsi="Calibri" w:cs="Calibri"/>
          <w:color w:val="000000"/>
          <w:sz w:val="21"/>
          <w:szCs w:val="21"/>
        </w:rPr>
        <w:t xml:space="preserve">, </w:t>
      </w:r>
      <w:r w:rsidR="00BB0251">
        <w:rPr>
          <w:rFonts w:ascii="Calibri" w:eastAsia="Calibri" w:hAnsi="Calibri" w:cs="Calibri"/>
          <w:color w:val="000000"/>
          <w:sz w:val="21"/>
          <w:szCs w:val="21"/>
        </w:rPr>
        <w:t>en condición de cliente</w:t>
      </w:r>
      <w:r w:rsidR="00BB0251" w:rsidRPr="005E684E">
        <w:rPr>
          <w:rFonts w:ascii="Calibri" w:eastAsia="Calibri" w:hAnsi="Calibri" w:cs="Calibri"/>
          <w:color w:val="000000"/>
          <w:sz w:val="21"/>
          <w:szCs w:val="21"/>
        </w:rPr>
        <w:t>/a</w:t>
      </w:r>
      <w:r w:rsidR="00BB0251">
        <w:rPr>
          <w:rFonts w:ascii="Calibri" w:eastAsia="Calibri" w:hAnsi="Calibri" w:cs="Calibri"/>
          <w:color w:val="000000"/>
          <w:sz w:val="21"/>
          <w:szCs w:val="21"/>
        </w:rPr>
        <w:t xml:space="preserve">  del Banco Sabadell, me dirijo a ustedes para manifestarles mi completo desacuerdo con las políticas de inversión y financiación que vienen desarrollando en empresas de armamento durante los últimos años. Una queja que no es nueva para ustedes, puesto que es objeto de denuncia desde años de la </w:t>
      </w:r>
      <w:proofErr w:type="spellStart"/>
      <w:r w:rsidR="00BB0251">
        <w:rPr>
          <w:rFonts w:ascii="Calibri" w:eastAsia="Calibri" w:hAnsi="Calibri" w:cs="Calibri"/>
          <w:color w:val="000000"/>
          <w:sz w:val="21"/>
          <w:szCs w:val="21"/>
        </w:rPr>
        <w:t>Campanya</w:t>
      </w:r>
      <w:proofErr w:type="spellEnd"/>
      <w:r w:rsidR="00BB0251">
        <w:rPr>
          <w:rFonts w:ascii="Calibri" w:eastAsia="Calibri" w:hAnsi="Calibri" w:cs="Calibri"/>
          <w:color w:val="000000"/>
          <w:sz w:val="21"/>
          <w:szCs w:val="21"/>
        </w:rPr>
        <w:t xml:space="preserve"> Banca Armada, promovida por el Centre Delàs </w:t>
      </w:r>
      <w:proofErr w:type="spellStart"/>
      <w:r w:rsidR="00BB0251">
        <w:rPr>
          <w:rFonts w:ascii="Calibri" w:eastAsia="Calibri" w:hAnsi="Calibri" w:cs="Calibri"/>
          <w:color w:val="000000"/>
          <w:sz w:val="21"/>
          <w:szCs w:val="21"/>
        </w:rPr>
        <w:t>d'Estudis</w:t>
      </w:r>
      <w:proofErr w:type="spellEnd"/>
      <w:r w:rsidR="00BB0251">
        <w:rPr>
          <w:rFonts w:ascii="Calibri" w:eastAsia="Calibri" w:hAnsi="Calibri" w:cs="Calibri"/>
          <w:color w:val="000000"/>
          <w:sz w:val="21"/>
          <w:szCs w:val="21"/>
        </w:rPr>
        <w:t xml:space="preserve"> per la Pau, SETEM, </w:t>
      </w:r>
      <w:proofErr w:type="spellStart"/>
      <w:r w:rsidR="00BB0251">
        <w:rPr>
          <w:rFonts w:ascii="Calibri" w:eastAsia="Calibri" w:hAnsi="Calibri" w:cs="Calibri"/>
          <w:color w:val="000000"/>
          <w:sz w:val="21"/>
          <w:szCs w:val="21"/>
        </w:rPr>
        <w:t>Justícia</w:t>
      </w:r>
      <w:proofErr w:type="spellEnd"/>
      <w:r w:rsidR="00BB0251">
        <w:rPr>
          <w:rFonts w:ascii="Calibri" w:eastAsia="Calibri" w:hAnsi="Calibri" w:cs="Calibri"/>
          <w:color w:val="000000"/>
          <w:sz w:val="21"/>
          <w:szCs w:val="21"/>
        </w:rPr>
        <w:t xml:space="preserve"> i Pau, </w:t>
      </w:r>
      <w:proofErr w:type="spellStart"/>
      <w:r w:rsidR="00BB0251">
        <w:rPr>
          <w:rFonts w:ascii="Calibri" w:eastAsia="Calibri" w:hAnsi="Calibri" w:cs="Calibri"/>
          <w:color w:val="000000"/>
          <w:sz w:val="21"/>
          <w:szCs w:val="21"/>
        </w:rPr>
        <w:t>l'Observatori</w:t>
      </w:r>
      <w:proofErr w:type="spellEnd"/>
      <w:r w:rsidR="00BB0251">
        <w:rPr>
          <w:rFonts w:ascii="Calibri" w:eastAsia="Calibri" w:hAnsi="Calibri" w:cs="Calibri"/>
          <w:color w:val="000000"/>
          <w:sz w:val="21"/>
          <w:szCs w:val="21"/>
        </w:rPr>
        <w:t xml:space="preserve"> del </w:t>
      </w:r>
      <w:proofErr w:type="spellStart"/>
      <w:r w:rsidR="00BB0251">
        <w:rPr>
          <w:rFonts w:ascii="Calibri" w:eastAsia="Calibri" w:hAnsi="Calibri" w:cs="Calibri"/>
          <w:color w:val="000000"/>
          <w:sz w:val="21"/>
          <w:szCs w:val="21"/>
        </w:rPr>
        <w:t>Deute</w:t>
      </w:r>
      <w:proofErr w:type="spellEnd"/>
      <w:r w:rsidR="00BB0251">
        <w:rPr>
          <w:rFonts w:ascii="Calibri" w:eastAsia="Calibri" w:hAnsi="Calibri" w:cs="Calibri"/>
          <w:color w:val="000000"/>
          <w:sz w:val="21"/>
          <w:szCs w:val="21"/>
        </w:rPr>
        <w:t xml:space="preserve"> en la </w:t>
      </w:r>
      <w:proofErr w:type="spellStart"/>
      <w:r w:rsidR="00BB0251">
        <w:rPr>
          <w:rFonts w:ascii="Calibri" w:eastAsia="Calibri" w:hAnsi="Calibri" w:cs="Calibri"/>
          <w:color w:val="000000"/>
          <w:sz w:val="21"/>
          <w:szCs w:val="21"/>
        </w:rPr>
        <w:t>Globalització</w:t>
      </w:r>
      <w:proofErr w:type="spellEnd"/>
      <w:r w:rsidR="00BB0251">
        <w:rPr>
          <w:rFonts w:ascii="Calibri" w:eastAsia="Calibri" w:hAnsi="Calibri" w:cs="Calibri"/>
          <w:color w:val="000000"/>
          <w:sz w:val="21"/>
          <w:szCs w:val="21"/>
        </w:rPr>
        <w:t xml:space="preserve">, FETS, Alternativa Antimilitarista-Movimiento de Objeción de Conciencia, </w:t>
      </w:r>
      <w:proofErr w:type="spellStart"/>
      <w:r w:rsidR="00BB0251">
        <w:rPr>
          <w:rFonts w:ascii="Calibri" w:eastAsia="Calibri" w:hAnsi="Calibri" w:cs="Calibri"/>
          <w:color w:val="000000"/>
          <w:sz w:val="21"/>
          <w:szCs w:val="21"/>
        </w:rPr>
        <w:t>Col·lectiu</w:t>
      </w:r>
      <w:proofErr w:type="spellEnd"/>
      <w:r w:rsidR="00BB0251">
        <w:rPr>
          <w:rFonts w:ascii="Calibri" w:eastAsia="Calibri" w:hAnsi="Calibri" w:cs="Calibri"/>
          <w:color w:val="000000"/>
          <w:sz w:val="21"/>
          <w:szCs w:val="21"/>
        </w:rPr>
        <w:t xml:space="preserve"> RETS, la </w:t>
      </w:r>
      <w:proofErr w:type="spellStart"/>
      <w:r w:rsidR="00BB0251">
        <w:rPr>
          <w:rFonts w:ascii="Calibri" w:eastAsia="Calibri" w:hAnsi="Calibri" w:cs="Calibri"/>
          <w:color w:val="000000"/>
          <w:sz w:val="21"/>
          <w:szCs w:val="21"/>
        </w:rPr>
        <w:t>Fundació</w:t>
      </w:r>
      <w:proofErr w:type="spellEnd"/>
      <w:r w:rsidR="00BB0251">
        <w:rPr>
          <w:rFonts w:ascii="Calibri" w:eastAsia="Calibri" w:hAnsi="Calibri" w:cs="Calibri"/>
          <w:color w:val="000000"/>
          <w:sz w:val="21"/>
          <w:szCs w:val="21"/>
        </w:rPr>
        <w:t xml:space="preserve"> Novessendes y la Fundación Finanzas Éticas.</w:t>
      </w:r>
    </w:p>
    <w:p w:rsidR="00A82D3C" w:rsidRPr="00CE3434" w:rsidRDefault="00BB025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En varias ocasiones, el Sr. Oliu, ha asegurado que “el Banco Sabadell no invierte en instrumentos de capital de empresas dedicadas a la fabricación o distribución de armamento” y que “dispone de una Política específica de restricciones a la financiación e inversión en </w:t>
      </w:r>
      <w:r w:rsidRPr="00CE3434">
        <w:rPr>
          <w:rFonts w:ascii="Calibri" w:eastAsia="Calibri" w:hAnsi="Calibri" w:cs="Calibri"/>
          <w:color w:val="000000"/>
          <w:sz w:val="21"/>
          <w:szCs w:val="21"/>
        </w:rPr>
        <w:t xml:space="preserve">las actividades de este sector”. Sin embargo, en la base de datos de la banca armada del Centre Delàs </w:t>
      </w:r>
      <w:proofErr w:type="spellStart"/>
      <w:r w:rsidRPr="00CE3434">
        <w:rPr>
          <w:rFonts w:ascii="Calibri" w:eastAsia="Calibri" w:hAnsi="Calibri" w:cs="Calibri"/>
          <w:color w:val="000000"/>
          <w:sz w:val="21"/>
          <w:szCs w:val="21"/>
        </w:rPr>
        <w:t>d’Estudis</w:t>
      </w:r>
      <w:proofErr w:type="spellEnd"/>
      <w:r w:rsidRPr="00CE3434">
        <w:rPr>
          <w:rFonts w:ascii="Calibri" w:eastAsia="Calibri" w:hAnsi="Calibri" w:cs="Calibri"/>
          <w:color w:val="000000"/>
          <w:sz w:val="21"/>
          <w:szCs w:val="21"/>
        </w:rPr>
        <w:t xml:space="preserve"> per la Pau (</w:t>
      </w:r>
      <w:hyperlink r:id="rId5" w:history="1">
        <w:r w:rsidR="00CE3434" w:rsidRPr="00CE3434">
          <w:rPr>
            <w:rStyle w:val="Hipervnculo"/>
            <w:rFonts w:ascii="Calibri" w:hAnsi="Calibri" w:cs="Calibri"/>
            <w:sz w:val="21"/>
            <w:szCs w:val="21"/>
          </w:rPr>
          <w:t>http://database.centredelas.org/?lang=es</w:t>
        </w:r>
      </w:hyperlink>
      <w:r w:rsidRPr="00CE3434">
        <w:rPr>
          <w:rFonts w:ascii="Calibri" w:eastAsia="Calibri" w:hAnsi="Calibri" w:cs="Calibri"/>
          <w:color w:val="000000"/>
          <w:sz w:val="21"/>
          <w:szCs w:val="21"/>
        </w:rPr>
        <w:t>), se puede comprobar que sí que invierten en empresas dedicadas a la fabricación o distribución de armamento, como a continuación comentaré:</w:t>
      </w:r>
    </w:p>
    <w:p w:rsidR="00A82D3C" w:rsidRDefault="00BB025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1"/>
          <w:szCs w:val="21"/>
        </w:rPr>
        <w:t xml:space="preserve">Para empezar, durante el período 2014-2019, el Banco Sabadell invirtió más de 191 millones de dólares en cuatro empresas relacionadas con el negocio de la guerra: AECOM, MAXAM, General Dynamics y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Raytheon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Technologies. Es muy probable que las empresas de armamento que ustedes financian sean responsables de la muerte de civiles inocentes. Hablemos de las inversiones a General Dynamics y a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Raytheon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Technologies, empresas que exportan su armamento a Arabia Saudí y Emiratos Árabes Unidos (EAU), principales contendientes militares de la guerra en Yemen, uno de los conflicto armados más sangrientos e infames contra la población civil.</w:t>
      </w:r>
    </w:p>
    <w:p w:rsidR="00A82D3C" w:rsidRDefault="00BB025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Por un lado, General Dynamics ha vendido carros de combate de los modelos M-1A2S y LAV-700, encargados en el año 2014 y que se exportaron parcialmente a Arabia Saudí durante el año 2019. Por otro lado, durante los últimos años,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Raytheon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Technologies ha fabricado bombas guiadas que han sido exportadas tanto a Arabia Saudí como a EAU. Esta empresa es la única empresa que vende el modelo GBU-12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Paveway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a otros países que no son Estados Unidos. Según el informe remitido en enero de 2017 por el Panel de Expertos sobre Yemen y presentado al Consejo de Seguridad de la ONU, se lanzaron bombas de este mismo modelo en los ataques al hospital de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Hajjah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el 15 de agosto de 2016 y el 8 de octubre del mismo año sobre un funeral civil en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Sana’a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. En el ataque al hospital fallecieron 19 personas y 24 resultaron heridas, mientras que en el ataque al funeral civil perdieron su vida 32 personas y 695 resultaron heridas. En 2019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Raytheon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 Technologies recibió el encargo de fabricar 50.000 nuevas unidades de este modelo de bomba guiada para Arabia Saudí.</w:t>
      </w:r>
    </w:p>
    <w:p w:rsidR="00A82D3C" w:rsidRDefault="00BB025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Otra cuestión que ustedes aseguran es que “los valores de la transparencia y la actuación ética y socialmente responsable forman parte de su cultura de empresa”. Sin embargo, El informe </w:t>
      </w:r>
      <w:hyperlink r:id="rId6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Shorting</w:t>
        </w:r>
        <w:proofErr w:type="spellEnd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our</w:t>
        </w:r>
        <w:proofErr w:type="spellEnd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security</w:t>
        </w:r>
        <w:proofErr w:type="spellEnd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 xml:space="preserve">: </w:t>
        </w:r>
        <w:proofErr w:type="spellStart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Financing</w:t>
        </w:r>
        <w:proofErr w:type="spellEnd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the</w:t>
        </w:r>
        <w:proofErr w:type="spellEnd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companies</w:t>
        </w:r>
        <w:proofErr w:type="spellEnd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that</w:t>
        </w:r>
        <w:proofErr w:type="spellEnd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 xml:space="preserve"> </w:t>
        </w:r>
        <w:proofErr w:type="spellStart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make</w:t>
        </w:r>
        <w:proofErr w:type="spellEnd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 xml:space="preserve"> nuclear </w:t>
        </w:r>
        <w:proofErr w:type="spellStart"/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weapons</w:t>
        </w:r>
        <w:proofErr w:type="spellEnd"/>
      </w:hyperlink>
      <w:r>
        <w:rPr>
          <w:rFonts w:ascii="Calibri" w:eastAsia="Calibri" w:hAnsi="Calibri" w:cs="Calibri"/>
          <w:color w:val="000000"/>
          <w:sz w:val="21"/>
          <w:szCs w:val="21"/>
        </w:rPr>
        <w:t>, publicado por PAX, Profundo e ICAN revela cómo han dado su apoyo financiero a AECOM y a la ya mencionada General Dynamics, ambas relacionadas con la fabricación de armamento nuclear.</w:t>
      </w:r>
    </w:p>
    <w:p w:rsidR="00A82D3C" w:rsidRDefault="00BB025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En 2019 General Dynamics cerró el contrato de construcción naval militar más grande de la historia, un acuerdo de 22 </w:t>
      </w:r>
      <w:r>
        <w:rPr>
          <w:rFonts w:ascii="Calibri" w:eastAsia="Calibri" w:hAnsi="Calibri" w:cs="Calibri"/>
          <w:sz w:val="21"/>
          <w:szCs w:val="21"/>
        </w:rPr>
        <w:t xml:space="preserve">mil millones 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de dólares para la construcción de nueve submarinos nucleares. La adjudicación, emitida a la filial General Dynamics Electric </w:t>
      </w:r>
      <w:proofErr w:type="spellStart"/>
      <w:r>
        <w:rPr>
          <w:rFonts w:ascii="Calibri" w:eastAsia="Calibri" w:hAnsi="Calibri" w:cs="Calibri"/>
          <w:color w:val="000000"/>
          <w:sz w:val="21"/>
          <w:szCs w:val="21"/>
        </w:rPr>
        <w:t>Boat</w:t>
      </w:r>
      <w:proofErr w:type="spellEnd"/>
      <w:r>
        <w:rPr>
          <w:rFonts w:ascii="Calibri" w:eastAsia="Calibri" w:hAnsi="Calibri" w:cs="Calibri"/>
          <w:color w:val="000000"/>
          <w:sz w:val="21"/>
          <w:szCs w:val="21"/>
        </w:rPr>
        <w:t xml:space="preserve">, es para un quinto lote de submarinos de ataque rápido, con entregas programadas entre el 2025 y el 2029. La Marina de los Estados Unidos ya cuenta con 18 de estos submarinos de clase Virginia pero quiere llegar a disponer de 40 en su flota. Sólo entre 2017 y 2019 el Banco Sabadell destinó más de 73 millones de dólares a AECOM, que trabaja en el Laboratorio Nacional Lawrence Livermore, donde participa en la investigación, diseño, desarrollo y producción de armas nucleares, incluyendo el programa de extensión de vida de las bombas nucleares B-61 y de la ojiva nuclear W80-1 para misiles de crucero lanzados desde el aire. </w:t>
      </w:r>
    </w:p>
    <w:p w:rsidR="00A82D3C" w:rsidRDefault="00BB025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 xml:space="preserve">Ustedes son conscientes que el armamento nuclear es el más peligroso y letal para todas las formas de vida, presentes y futuras, jamás diseñado. Y también sabrán que el pasado 22 de enero entró en vigor el Tratado de Prohibición de Armas Nucleares, ratificado por 54 países y firmado por 86. Seguramente ya habrán pensado de qué manera les afecta la entrada en vigor de este tratado y cómo adaptarse a la nueva situación. Al menos esto sería lo esperable, dado su interés manifiesto en cumplir las normas y en establecer límites moralmente aceptables en sus inversiones. Pero, sin embargo, sus inversiones a empresas fabricantes de armamento nuclear perduran. </w:t>
      </w:r>
    </w:p>
    <w:p w:rsidR="00A82D3C" w:rsidRDefault="00BB0251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Por desgracia, todavía hay decenas de conflictos armados y tensiones internacionales en el mundo que se alimentan del militarismo y el desorbitado gasto en armamento. ¿Creen ustedes que es ético financiar a las industrias que hacen de la guerra y el militarismo su negocio? ¿De verdad les merece la pena?</w:t>
      </w:r>
    </w:p>
    <w:p w:rsidR="00A82D3C" w:rsidRDefault="007F5D69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Como cliente/a del Banco Sabadell siento una gran incomodidad y un particular disgusto en relación a sus prácticas de inversión y financiación</w:t>
      </w:r>
      <w:r w:rsidR="00BB0251">
        <w:rPr>
          <w:rFonts w:ascii="Calibri" w:eastAsia="Calibri" w:hAnsi="Calibri" w:cs="Calibri"/>
          <w:color w:val="000000"/>
          <w:sz w:val="21"/>
          <w:szCs w:val="21"/>
        </w:rPr>
        <w:t xml:space="preserve">. Agradezco de antemano su atención pero, no sólo quiero que me escuchen, sino que también dejen invertir y sacar réditos del negocio de la guerra. </w:t>
      </w:r>
    </w:p>
    <w:tbl>
      <w:tblPr>
        <w:tblStyle w:val="a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5303"/>
        <w:gridCol w:w="4444"/>
      </w:tblGrid>
      <w:tr w:rsidR="00A81B9E" w:rsidTr="004E2C8B">
        <w:tc>
          <w:tcPr>
            <w:tcW w:w="5303" w:type="dxa"/>
            <w:vAlign w:val="center"/>
          </w:tcPr>
          <w:p w:rsidR="006F19B4" w:rsidRDefault="006F19B4" w:rsidP="006F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 w:rsidRPr="002A08C7">
              <w:rPr>
                <w:rFonts w:ascii="Calibri" w:eastAsia="Calibri" w:hAnsi="Calibri" w:cs="Calibri"/>
                <w:sz w:val="21"/>
                <w:szCs w:val="21"/>
              </w:rPr>
              <w:t>uy cordialmente,</w:t>
            </w:r>
          </w:p>
          <w:p w:rsidR="006F19B4" w:rsidRDefault="006F19B4" w:rsidP="006F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rFonts w:ascii="Calibri" w:eastAsia="Calibri" w:hAnsi="Calibri" w:cs="Calibri"/>
                <w:sz w:val="21"/>
                <w:szCs w:val="21"/>
              </w:rPr>
            </w:pPr>
          </w:p>
          <w:p w:rsidR="00A81B9E" w:rsidRDefault="006F19B4" w:rsidP="006F1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  <w:u w:val="single"/>
              </w:rPr>
              <w:t xml:space="preserve">                                                                           </w:t>
            </w:r>
            <w:r w:rsidRPr="002A08C7">
              <w:rPr>
                <w:rFonts w:ascii="Calibri" w:eastAsia="Calibri" w:hAnsi="Calibri" w:cs="Calibri"/>
                <w:color w:val="FFFFFF" w:themeColor="background1"/>
                <w:sz w:val="21"/>
                <w:szCs w:val="21"/>
                <w:u w:val="single"/>
              </w:rPr>
              <w:t>.</w:t>
            </w:r>
          </w:p>
        </w:tc>
        <w:tc>
          <w:tcPr>
            <w:tcW w:w="4444" w:type="dxa"/>
            <w:vAlign w:val="center"/>
          </w:tcPr>
          <w:p w:rsidR="00A81B9E" w:rsidRDefault="00A81B9E" w:rsidP="004E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A82D3C" w:rsidRDefault="00A82D3C">
      <w:p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sectPr w:rsidR="00A82D3C" w:rsidSect="004450C6">
      <w:pgSz w:w="11906" w:h="16838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82D3C"/>
    <w:rsid w:val="00083BAB"/>
    <w:rsid w:val="002267F3"/>
    <w:rsid w:val="003C670D"/>
    <w:rsid w:val="0042591C"/>
    <w:rsid w:val="004450C6"/>
    <w:rsid w:val="0059612E"/>
    <w:rsid w:val="005E3AAA"/>
    <w:rsid w:val="005E684E"/>
    <w:rsid w:val="006F19B4"/>
    <w:rsid w:val="007F46EF"/>
    <w:rsid w:val="007F5D69"/>
    <w:rsid w:val="00A81B9E"/>
    <w:rsid w:val="00A82D3C"/>
    <w:rsid w:val="00BB0251"/>
    <w:rsid w:val="00C833F6"/>
    <w:rsid w:val="00CE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27D"/>
  </w:style>
  <w:style w:type="paragraph" w:styleId="Ttulo1">
    <w:name w:val="heading 1"/>
    <w:basedOn w:val="Normal1"/>
    <w:next w:val="Normal1"/>
    <w:rsid w:val="003C67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C67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C67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C670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3C67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3C67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C670D"/>
  </w:style>
  <w:style w:type="table" w:customStyle="1" w:styleId="TableNormal">
    <w:name w:val="Table Normal"/>
    <w:rsid w:val="003C67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C670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36327D"/>
  </w:style>
  <w:style w:type="paragraph" w:customStyle="1" w:styleId="Heading">
    <w:name w:val="Heading"/>
    <w:basedOn w:val="Standard"/>
    <w:next w:val="Textbody"/>
    <w:rsid w:val="0036327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36327D"/>
    <w:pPr>
      <w:spacing w:after="140" w:line="288" w:lineRule="auto"/>
    </w:pPr>
  </w:style>
  <w:style w:type="paragraph" w:styleId="Lista">
    <w:name w:val="List"/>
    <w:basedOn w:val="Textbody"/>
    <w:rsid w:val="0036327D"/>
  </w:style>
  <w:style w:type="paragraph" w:styleId="Epgrafe">
    <w:name w:val="caption"/>
    <w:basedOn w:val="Standard"/>
    <w:rsid w:val="003632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327D"/>
    <w:pPr>
      <w:suppressLineNumbers/>
    </w:pPr>
  </w:style>
  <w:style w:type="paragraph" w:customStyle="1" w:styleId="TableContents">
    <w:name w:val="Table Contents"/>
    <w:basedOn w:val="Standard"/>
    <w:rsid w:val="0036327D"/>
    <w:pPr>
      <w:suppressLineNumbers/>
    </w:pPr>
  </w:style>
  <w:style w:type="paragraph" w:customStyle="1" w:styleId="TableHeading">
    <w:name w:val="Table Heading"/>
    <w:basedOn w:val="TableContents"/>
    <w:rsid w:val="0036327D"/>
    <w:pPr>
      <w:jc w:val="center"/>
    </w:pPr>
    <w:rPr>
      <w:b/>
      <w:bCs/>
    </w:rPr>
  </w:style>
  <w:style w:type="character" w:customStyle="1" w:styleId="StrongEmphasis">
    <w:name w:val="Strong Emphasis"/>
    <w:rsid w:val="0036327D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F90B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0B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0B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0B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0B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B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B98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90B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66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3C67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670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ncaarmada.org/images/2019hosweb.pdf" TargetMode="External"/><Relationship Id="rId5" Type="http://schemas.openxmlformats.org/officeDocument/2006/relationships/hyperlink" Target="http://database.centredelas.org/?lang=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JDfKExcR4+4xpOpEDEUoi3nFow==">AMUW2mUAFlzPaPgkrxnpA0e19OM11nx43HdPIDElpg6NWmNcW1ko2MRJKTHFs1hLEjvMLbLkP4SAtvfTSvRAd+g4zIsHd3+IYWm2j3g3G6CYBGeLfET8JTCoW+lkxxm1ALgkwEYFoEKv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Aragón Ruiz</dc:creator>
  <cp:lastModifiedBy>Usuario de Windows</cp:lastModifiedBy>
  <cp:revision>12</cp:revision>
  <dcterms:created xsi:type="dcterms:W3CDTF">2021-05-10T12:21:00Z</dcterms:created>
  <dcterms:modified xsi:type="dcterms:W3CDTF">2021-06-22T11:49:00Z</dcterms:modified>
</cp:coreProperties>
</file>