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A7B" w:rsidRDefault="00A90980" w:rsidP="001C5A7B">
      <w:pPr>
        <w:pBdr>
          <w:top w:val="nil"/>
          <w:left w:val="nil"/>
          <w:bottom w:val="nil"/>
          <w:right w:val="nil"/>
          <w:between w:val="nil"/>
        </w:pBdr>
        <w:jc w:val="right"/>
        <w:rPr>
          <w:rFonts w:ascii="Calibri" w:eastAsia="Calibri" w:hAnsi="Calibri" w:cs="Calibri"/>
          <w:color w:val="000000"/>
          <w:sz w:val="21"/>
          <w:szCs w:val="21"/>
        </w:rPr>
      </w:pPr>
      <w:r>
        <w:rPr>
          <w:rFonts w:ascii="Calibri" w:eastAsia="Calibri" w:hAnsi="Calibri" w:cs="Calibri"/>
          <w:color w:val="000000"/>
          <w:sz w:val="21"/>
          <w:szCs w:val="21"/>
          <w:u w:val="single"/>
        </w:rPr>
        <w:t xml:space="preserve">                                                          </w:t>
      </w:r>
      <w:r>
        <w:rPr>
          <w:rFonts w:ascii="Calibri" w:eastAsia="Calibri" w:hAnsi="Calibri" w:cs="Calibri"/>
          <w:color w:val="000000"/>
          <w:sz w:val="21"/>
          <w:szCs w:val="21"/>
        </w:rPr>
        <w:t xml:space="preserve">, </w:t>
      </w:r>
      <w:r>
        <w:rPr>
          <w:rFonts w:ascii="Calibri" w:eastAsia="Calibri" w:hAnsi="Calibri" w:cs="Calibri"/>
          <w:color w:val="000000"/>
          <w:sz w:val="21"/>
          <w:szCs w:val="21"/>
          <w:u w:val="single"/>
        </w:rPr>
        <w:t xml:space="preserve">        </w:t>
      </w:r>
      <w:r>
        <w:rPr>
          <w:rFonts w:ascii="Calibri" w:eastAsia="Calibri" w:hAnsi="Calibri" w:cs="Calibri"/>
          <w:color w:val="000000"/>
          <w:sz w:val="21"/>
          <w:szCs w:val="21"/>
        </w:rPr>
        <w:t xml:space="preserve"> de </w:t>
      </w:r>
      <w:r>
        <w:rPr>
          <w:rFonts w:ascii="Calibri" w:eastAsia="Calibri" w:hAnsi="Calibri" w:cs="Calibri"/>
          <w:color w:val="000000"/>
          <w:sz w:val="21"/>
          <w:szCs w:val="21"/>
          <w:u w:val="single"/>
        </w:rPr>
        <w:t xml:space="preserve">                     </w:t>
      </w:r>
      <w:r>
        <w:rPr>
          <w:rFonts w:ascii="Calibri" w:eastAsia="Calibri" w:hAnsi="Calibri" w:cs="Calibri"/>
          <w:color w:val="000000"/>
          <w:sz w:val="21"/>
          <w:szCs w:val="21"/>
        </w:rPr>
        <w:t xml:space="preserve"> de 2021</w:t>
      </w:r>
    </w:p>
    <w:p w:rsidR="000F69BA" w:rsidRDefault="000F69BA">
      <w:pPr>
        <w:pBdr>
          <w:top w:val="nil"/>
          <w:left w:val="nil"/>
          <w:bottom w:val="nil"/>
          <w:right w:val="nil"/>
          <w:between w:val="nil"/>
        </w:pBdr>
        <w:jc w:val="both"/>
        <w:rPr>
          <w:rFonts w:ascii="Calibri" w:eastAsia="Calibri" w:hAnsi="Calibri" w:cs="Calibri"/>
          <w:color w:val="000000"/>
          <w:sz w:val="21"/>
          <w:szCs w:val="21"/>
        </w:rPr>
      </w:pPr>
    </w:p>
    <w:p w:rsidR="000F69BA" w:rsidRDefault="000F69BA">
      <w:pPr>
        <w:pBdr>
          <w:top w:val="nil"/>
          <w:left w:val="nil"/>
          <w:bottom w:val="nil"/>
          <w:right w:val="nil"/>
          <w:between w:val="nil"/>
        </w:pBdr>
        <w:jc w:val="both"/>
        <w:rPr>
          <w:rFonts w:ascii="Calibri" w:eastAsia="Calibri" w:hAnsi="Calibri" w:cs="Calibri"/>
          <w:color w:val="000000"/>
          <w:sz w:val="21"/>
          <w:szCs w:val="21"/>
        </w:rPr>
      </w:pPr>
    </w:p>
    <w:p w:rsidR="000F69BA" w:rsidRDefault="00827068">
      <w:pPr>
        <w:pBdr>
          <w:top w:val="nil"/>
          <w:left w:val="nil"/>
          <w:bottom w:val="nil"/>
          <w:right w:val="nil"/>
          <w:between w:val="nil"/>
        </w:pBdr>
        <w:jc w:val="both"/>
        <w:rPr>
          <w:rFonts w:ascii="Calibri" w:eastAsia="Calibri" w:hAnsi="Calibri" w:cs="Calibri"/>
          <w:color w:val="000000"/>
          <w:sz w:val="21"/>
          <w:szCs w:val="21"/>
        </w:rPr>
      </w:pPr>
      <w:bookmarkStart w:id="0" w:name="_heading=h.gjdgxs" w:colFirst="0" w:colLast="0"/>
      <w:bookmarkEnd w:id="0"/>
      <w:r>
        <w:rPr>
          <w:rFonts w:ascii="Calibri" w:eastAsia="Calibri" w:hAnsi="Calibri" w:cs="Calibri"/>
          <w:color w:val="000000"/>
          <w:sz w:val="21"/>
          <w:szCs w:val="21"/>
        </w:rPr>
        <w:t>A la atención del Servicio de Atención al Cliente</w:t>
      </w:r>
      <w:r w:rsidR="00504052">
        <w:rPr>
          <w:rFonts w:ascii="Calibri" w:eastAsia="Calibri" w:hAnsi="Calibri" w:cs="Calibri"/>
          <w:color w:val="000000"/>
          <w:sz w:val="21"/>
          <w:szCs w:val="21"/>
        </w:rPr>
        <w:t>,</w:t>
      </w:r>
    </w:p>
    <w:p w:rsidR="00827068" w:rsidRDefault="00827068">
      <w:pPr>
        <w:pBdr>
          <w:top w:val="nil"/>
          <w:left w:val="nil"/>
          <w:bottom w:val="nil"/>
          <w:right w:val="nil"/>
          <w:between w:val="nil"/>
        </w:pBdr>
        <w:jc w:val="both"/>
        <w:rPr>
          <w:rFonts w:ascii="Calibri" w:eastAsia="Calibri" w:hAnsi="Calibri" w:cs="Calibri"/>
          <w:color w:val="000000"/>
          <w:sz w:val="21"/>
          <w:szCs w:val="21"/>
        </w:rPr>
      </w:pPr>
    </w:p>
    <w:p w:rsidR="000F69BA" w:rsidRPr="0022169B" w:rsidRDefault="000A7AFD">
      <w:pPr>
        <w:pBdr>
          <w:top w:val="nil"/>
          <w:left w:val="nil"/>
          <w:bottom w:val="nil"/>
          <w:right w:val="nil"/>
          <w:between w:val="nil"/>
        </w:pBdr>
        <w:spacing w:before="280" w:after="280"/>
        <w:jc w:val="both"/>
        <w:rPr>
          <w:rFonts w:asciiTheme="minorHAnsi" w:eastAsia="Calibri" w:hAnsiTheme="minorHAnsi" w:cstheme="minorHAnsi"/>
          <w:color w:val="000000"/>
          <w:sz w:val="21"/>
          <w:szCs w:val="21"/>
        </w:rPr>
      </w:pPr>
      <w:r>
        <w:rPr>
          <w:rFonts w:ascii="Calibri" w:eastAsia="Calibri" w:hAnsi="Calibri" w:cs="Calibri"/>
          <w:color w:val="000000"/>
          <w:sz w:val="21"/>
          <w:szCs w:val="21"/>
        </w:rPr>
        <w:t xml:space="preserve">Yo, </w:t>
      </w:r>
      <w:r>
        <w:rPr>
          <w:rFonts w:ascii="Calibri" w:eastAsia="Calibri" w:hAnsi="Calibri" w:cs="Calibri"/>
          <w:color w:val="000000"/>
          <w:sz w:val="21"/>
          <w:szCs w:val="21"/>
          <w:u w:val="single"/>
        </w:rPr>
        <w:t xml:space="preserve"> </w:t>
      </w:r>
      <w:r w:rsidRPr="00091048">
        <w:rPr>
          <w:rFonts w:ascii="Calibri" w:eastAsia="Calibri" w:hAnsi="Calibri" w:cs="Calibri"/>
          <w:color w:val="000000"/>
          <w:sz w:val="21"/>
          <w:szCs w:val="21"/>
          <w:u w:val="single"/>
        </w:rPr>
        <w:t xml:space="preserve">                                                                </w:t>
      </w:r>
      <w:r>
        <w:rPr>
          <w:rFonts w:ascii="Calibri" w:eastAsia="Calibri" w:hAnsi="Calibri" w:cs="Calibri"/>
          <w:color w:val="000000"/>
          <w:sz w:val="21"/>
          <w:szCs w:val="21"/>
        </w:rPr>
        <w:t>, con</w:t>
      </w:r>
      <w:r w:rsidRPr="00091048">
        <w:rPr>
          <w:rFonts w:ascii="Calibri" w:eastAsia="Calibri" w:hAnsi="Calibri" w:cs="Calibri"/>
          <w:color w:val="000000"/>
          <w:sz w:val="21"/>
          <w:szCs w:val="21"/>
        </w:rPr>
        <w:t xml:space="preserve"> DNI </w:t>
      </w:r>
      <w:r w:rsidRPr="00091048">
        <w:rPr>
          <w:rFonts w:ascii="Calibri" w:eastAsia="Calibri" w:hAnsi="Calibri" w:cs="Calibri"/>
          <w:color w:val="000000"/>
          <w:sz w:val="21"/>
          <w:szCs w:val="21"/>
          <w:u w:val="single"/>
        </w:rPr>
        <w:t xml:space="preserve">                                    </w:t>
      </w:r>
      <w:r w:rsidRPr="00091048">
        <w:rPr>
          <w:rFonts w:ascii="Calibri" w:eastAsia="Calibri" w:hAnsi="Calibri" w:cs="Calibri"/>
          <w:color w:val="000000"/>
          <w:sz w:val="21"/>
          <w:szCs w:val="21"/>
        </w:rPr>
        <w:t xml:space="preserve">, </w:t>
      </w:r>
      <w:r w:rsidR="00827068">
        <w:rPr>
          <w:rFonts w:ascii="Calibri" w:eastAsia="Calibri" w:hAnsi="Calibri" w:cs="Calibri"/>
          <w:color w:val="000000"/>
          <w:sz w:val="21"/>
          <w:szCs w:val="21"/>
        </w:rPr>
        <w:t>en condición de cliente</w:t>
      </w:r>
      <w:r w:rsidR="00827068" w:rsidRPr="00827068">
        <w:rPr>
          <w:rFonts w:ascii="Calibri" w:eastAsia="Calibri" w:hAnsi="Calibri" w:cs="Calibri"/>
          <w:color w:val="000000"/>
          <w:sz w:val="21"/>
          <w:szCs w:val="21"/>
        </w:rPr>
        <w:t>/a</w:t>
      </w:r>
      <w:r w:rsidR="00827068">
        <w:rPr>
          <w:rFonts w:ascii="Calibri" w:eastAsia="Calibri" w:hAnsi="Calibri" w:cs="Calibri"/>
          <w:color w:val="000000"/>
          <w:sz w:val="21"/>
          <w:szCs w:val="21"/>
        </w:rPr>
        <w:t xml:space="preserve"> de Banco Santander me dirijo a ustedes para manifestarles mi completo desacuerdo con sus inversiones y financiación a empresas vinculadas con el negocio de la guerra, el diseño y mantenimiento de armamento nuclear, la militarización y la </w:t>
      </w:r>
      <w:proofErr w:type="spellStart"/>
      <w:r w:rsidR="00827068">
        <w:rPr>
          <w:rFonts w:ascii="Calibri" w:eastAsia="Calibri" w:hAnsi="Calibri" w:cs="Calibri"/>
          <w:color w:val="000000"/>
          <w:sz w:val="21"/>
          <w:szCs w:val="21"/>
        </w:rPr>
        <w:t>securitización</w:t>
      </w:r>
      <w:proofErr w:type="spellEnd"/>
      <w:r w:rsidR="00827068">
        <w:rPr>
          <w:rFonts w:ascii="Calibri" w:eastAsia="Calibri" w:hAnsi="Calibri" w:cs="Calibri"/>
          <w:color w:val="000000"/>
          <w:sz w:val="21"/>
          <w:szCs w:val="21"/>
        </w:rPr>
        <w:t xml:space="preserve"> de nuestras fronteras y sociedades. Datos que ustedes conocen de sobras, pues son objeto de denuncia desde hace más de 10 años de la </w:t>
      </w:r>
      <w:proofErr w:type="spellStart"/>
      <w:r w:rsidR="00827068">
        <w:rPr>
          <w:rFonts w:ascii="Calibri" w:eastAsia="Calibri" w:hAnsi="Calibri" w:cs="Calibri"/>
          <w:color w:val="000000"/>
          <w:sz w:val="21"/>
          <w:szCs w:val="21"/>
        </w:rPr>
        <w:t>Campanya</w:t>
      </w:r>
      <w:proofErr w:type="spellEnd"/>
      <w:r w:rsidR="00827068">
        <w:rPr>
          <w:rFonts w:ascii="Calibri" w:eastAsia="Calibri" w:hAnsi="Calibri" w:cs="Calibri"/>
          <w:color w:val="000000"/>
          <w:sz w:val="21"/>
          <w:szCs w:val="21"/>
        </w:rPr>
        <w:t xml:space="preserve"> Banca Armada, promovida por el Centre Delàs </w:t>
      </w:r>
      <w:proofErr w:type="spellStart"/>
      <w:r w:rsidR="00827068">
        <w:rPr>
          <w:rFonts w:ascii="Calibri" w:eastAsia="Calibri" w:hAnsi="Calibri" w:cs="Calibri"/>
          <w:color w:val="000000"/>
          <w:sz w:val="21"/>
          <w:szCs w:val="21"/>
        </w:rPr>
        <w:t>d'Estudis</w:t>
      </w:r>
      <w:proofErr w:type="spellEnd"/>
      <w:r w:rsidR="00827068">
        <w:rPr>
          <w:rFonts w:ascii="Calibri" w:eastAsia="Calibri" w:hAnsi="Calibri" w:cs="Calibri"/>
          <w:color w:val="000000"/>
          <w:sz w:val="21"/>
          <w:szCs w:val="21"/>
        </w:rPr>
        <w:t xml:space="preserve"> per la Pau, SETEM, </w:t>
      </w:r>
      <w:proofErr w:type="spellStart"/>
      <w:r w:rsidR="00827068">
        <w:rPr>
          <w:rFonts w:ascii="Calibri" w:eastAsia="Calibri" w:hAnsi="Calibri" w:cs="Calibri"/>
          <w:color w:val="000000"/>
          <w:sz w:val="21"/>
          <w:szCs w:val="21"/>
        </w:rPr>
        <w:t>Justícia</w:t>
      </w:r>
      <w:proofErr w:type="spellEnd"/>
      <w:r w:rsidR="00827068">
        <w:rPr>
          <w:rFonts w:ascii="Calibri" w:eastAsia="Calibri" w:hAnsi="Calibri" w:cs="Calibri"/>
          <w:color w:val="000000"/>
          <w:sz w:val="21"/>
          <w:szCs w:val="21"/>
        </w:rPr>
        <w:t xml:space="preserve"> i Pau, </w:t>
      </w:r>
      <w:proofErr w:type="spellStart"/>
      <w:r w:rsidR="00827068">
        <w:rPr>
          <w:rFonts w:ascii="Calibri" w:eastAsia="Calibri" w:hAnsi="Calibri" w:cs="Calibri"/>
          <w:color w:val="000000"/>
          <w:sz w:val="21"/>
          <w:szCs w:val="21"/>
        </w:rPr>
        <w:t>l'Observatori</w:t>
      </w:r>
      <w:proofErr w:type="spellEnd"/>
      <w:r w:rsidR="00827068">
        <w:rPr>
          <w:rFonts w:ascii="Calibri" w:eastAsia="Calibri" w:hAnsi="Calibri" w:cs="Calibri"/>
          <w:color w:val="000000"/>
          <w:sz w:val="21"/>
          <w:szCs w:val="21"/>
        </w:rPr>
        <w:t xml:space="preserve"> del </w:t>
      </w:r>
      <w:proofErr w:type="spellStart"/>
      <w:r w:rsidR="00827068">
        <w:rPr>
          <w:rFonts w:ascii="Calibri" w:eastAsia="Calibri" w:hAnsi="Calibri" w:cs="Calibri"/>
          <w:color w:val="000000"/>
          <w:sz w:val="21"/>
          <w:szCs w:val="21"/>
        </w:rPr>
        <w:t>Deute</w:t>
      </w:r>
      <w:proofErr w:type="spellEnd"/>
      <w:r w:rsidR="00827068">
        <w:rPr>
          <w:rFonts w:ascii="Calibri" w:eastAsia="Calibri" w:hAnsi="Calibri" w:cs="Calibri"/>
          <w:color w:val="000000"/>
          <w:sz w:val="21"/>
          <w:szCs w:val="21"/>
        </w:rPr>
        <w:t xml:space="preserve"> en la </w:t>
      </w:r>
      <w:proofErr w:type="spellStart"/>
      <w:r w:rsidR="00827068">
        <w:rPr>
          <w:rFonts w:ascii="Calibri" w:eastAsia="Calibri" w:hAnsi="Calibri" w:cs="Calibri"/>
          <w:color w:val="000000"/>
          <w:sz w:val="21"/>
          <w:szCs w:val="21"/>
        </w:rPr>
        <w:t>Globalització</w:t>
      </w:r>
      <w:proofErr w:type="spellEnd"/>
      <w:r w:rsidR="00827068">
        <w:rPr>
          <w:rFonts w:ascii="Calibri" w:eastAsia="Calibri" w:hAnsi="Calibri" w:cs="Calibri"/>
          <w:color w:val="000000"/>
          <w:sz w:val="21"/>
          <w:szCs w:val="21"/>
        </w:rPr>
        <w:t xml:space="preserve">, FETS, Alternativa Antimilitarista-Movimiento de Objeción de Conciencia, </w:t>
      </w:r>
      <w:proofErr w:type="spellStart"/>
      <w:r w:rsidR="00827068">
        <w:rPr>
          <w:rFonts w:ascii="Calibri" w:eastAsia="Calibri" w:hAnsi="Calibri" w:cs="Calibri"/>
          <w:color w:val="000000"/>
          <w:sz w:val="21"/>
          <w:szCs w:val="21"/>
        </w:rPr>
        <w:t>Col·lectiu</w:t>
      </w:r>
      <w:proofErr w:type="spellEnd"/>
      <w:r w:rsidR="00827068">
        <w:rPr>
          <w:rFonts w:ascii="Calibri" w:eastAsia="Calibri" w:hAnsi="Calibri" w:cs="Calibri"/>
          <w:color w:val="000000"/>
          <w:sz w:val="21"/>
          <w:szCs w:val="21"/>
        </w:rPr>
        <w:t xml:space="preserve"> RETS, la </w:t>
      </w:r>
      <w:proofErr w:type="spellStart"/>
      <w:r w:rsidR="00827068">
        <w:rPr>
          <w:rFonts w:ascii="Calibri" w:eastAsia="Calibri" w:hAnsi="Calibri" w:cs="Calibri"/>
          <w:color w:val="000000"/>
          <w:sz w:val="21"/>
          <w:szCs w:val="21"/>
        </w:rPr>
        <w:t>Fundació</w:t>
      </w:r>
      <w:proofErr w:type="spellEnd"/>
      <w:r w:rsidR="00827068">
        <w:rPr>
          <w:rFonts w:ascii="Calibri" w:eastAsia="Calibri" w:hAnsi="Calibri" w:cs="Calibri"/>
          <w:color w:val="000000"/>
          <w:sz w:val="21"/>
          <w:szCs w:val="21"/>
        </w:rPr>
        <w:t xml:space="preserve"> Novessendes y la Fundación </w:t>
      </w:r>
      <w:r w:rsidR="00827068" w:rsidRPr="0022169B">
        <w:rPr>
          <w:rFonts w:asciiTheme="minorHAnsi" w:eastAsia="Calibri" w:hAnsiTheme="minorHAnsi" w:cstheme="minorHAnsi"/>
          <w:color w:val="000000"/>
          <w:sz w:val="21"/>
          <w:szCs w:val="21"/>
        </w:rPr>
        <w:t xml:space="preserve">Finanzas Éticas. </w:t>
      </w:r>
    </w:p>
    <w:p w:rsidR="000F69BA" w:rsidRPr="0022169B" w:rsidRDefault="00827068">
      <w:pPr>
        <w:pBdr>
          <w:top w:val="nil"/>
          <w:left w:val="nil"/>
          <w:bottom w:val="nil"/>
          <w:right w:val="nil"/>
          <w:between w:val="nil"/>
        </w:pBdr>
        <w:spacing w:before="280" w:after="280"/>
        <w:jc w:val="both"/>
        <w:rPr>
          <w:rFonts w:asciiTheme="minorHAnsi" w:eastAsia="Calibri" w:hAnsiTheme="minorHAnsi" w:cstheme="minorHAnsi"/>
          <w:color w:val="000000"/>
          <w:sz w:val="21"/>
          <w:szCs w:val="21"/>
        </w:rPr>
      </w:pPr>
      <w:r w:rsidRPr="0022169B">
        <w:rPr>
          <w:rFonts w:asciiTheme="minorHAnsi" w:eastAsia="Calibri" w:hAnsiTheme="minorHAnsi" w:cstheme="minorHAnsi"/>
          <w:color w:val="000000"/>
          <w:sz w:val="21"/>
          <w:szCs w:val="21"/>
        </w:rPr>
        <w:t xml:space="preserve">Y es que, aunque ustedes aseguren cuentan con políticas en materia de defensa, hay evidencias, contrastables en la </w:t>
      </w:r>
      <w:r w:rsidRPr="0022169B">
        <w:rPr>
          <w:rFonts w:asciiTheme="minorHAnsi" w:eastAsia="Calibri" w:hAnsiTheme="minorHAnsi" w:cstheme="minorHAnsi"/>
          <w:sz w:val="21"/>
          <w:szCs w:val="21"/>
        </w:rPr>
        <w:t xml:space="preserve">base de datos de la banca armada del Centre Delàs </w:t>
      </w:r>
      <w:proofErr w:type="spellStart"/>
      <w:r w:rsidRPr="0022169B">
        <w:rPr>
          <w:rFonts w:asciiTheme="minorHAnsi" w:eastAsia="Calibri" w:hAnsiTheme="minorHAnsi" w:cstheme="minorHAnsi"/>
          <w:sz w:val="21"/>
          <w:szCs w:val="21"/>
        </w:rPr>
        <w:t>d’Estudis</w:t>
      </w:r>
      <w:proofErr w:type="spellEnd"/>
      <w:r w:rsidRPr="0022169B">
        <w:rPr>
          <w:rFonts w:asciiTheme="minorHAnsi" w:eastAsia="Calibri" w:hAnsiTheme="minorHAnsi" w:cstheme="minorHAnsi"/>
          <w:sz w:val="21"/>
          <w:szCs w:val="21"/>
        </w:rPr>
        <w:t xml:space="preserve"> per la Pau (</w:t>
      </w:r>
      <w:hyperlink r:id="rId6" w:history="1">
        <w:r w:rsidR="0022169B" w:rsidRPr="00015D87">
          <w:rPr>
            <w:rStyle w:val="Hipervnculo"/>
            <w:rFonts w:asciiTheme="minorHAnsi" w:hAnsiTheme="minorHAnsi" w:cstheme="minorHAnsi"/>
            <w:sz w:val="21"/>
            <w:szCs w:val="21"/>
          </w:rPr>
          <w:t>http://database.centredelas.org/?lang=es</w:t>
        </w:r>
      </w:hyperlink>
      <w:r w:rsidRPr="0022169B">
        <w:rPr>
          <w:rFonts w:asciiTheme="minorHAnsi" w:eastAsia="Calibri" w:hAnsiTheme="minorHAnsi" w:cstheme="minorHAnsi"/>
          <w:sz w:val="21"/>
          <w:szCs w:val="21"/>
        </w:rPr>
        <w:t>), que demuestran dichas prácticas. De hecho, el Banco Santander, resulta tener el nefasto honor de ser el que más diversificada tiene su apuesta por el sector de la economía de guerra.</w:t>
      </w:r>
    </w:p>
    <w:p w:rsidR="000F69BA" w:rsidRDefault="00827068">
      <w:pPr>
        <w:pBdr>
          <w:top w:val="nil"/>
          <w:left w:val="nil"/>
          <w:bottom w:val="nil"/>
          <w:right w:val="nil"/>
          <w:between w:val="nil"/>
        </w:pBdr>
        <w:spacing w:before="280" w:after="280"/>
        <w:jc w:val="both"/>
        <w:rPr>
          <w:rFonts w:ascii="Calibri" w:eastAsia="Calibri" w:hAnsi="Calibri" w:cs="Calibri"/>
          <w:color w:val="FF0000"/>
          <w:sz w:val="21"/>
          <w:szCs w:val="21"/>
        </w:rPr>
      </w:pPr>
      <w:r w:rsidRPr="0022169B">
        <w:rPr>
          <w:rFonts w:asciiTheme="minorHAnsi" w:eastAsia="Calibri" w:hAnsiTheme="minorHAnsi" w:cstheme="minorHAnsi"/>
          <w:color w:val="000000"/>
          <w:sz w:val="21"/>
          <w:szCs w:val="21"/>
        </w:rPr>
        <w:t>La Campaña Banca Armada ha podido confirmar que durante el período 2014-2019, el Banco Santander apostó por relacionarse con al menos 15 empresas relacionadas con este sector. La suma total de todos los créditos e inversiones de los que tenemos conocimiento -que sabemos que es una cifra muy por debajo de la real-, ascendió a una suma total de más de 3.000 millones de dólares. ¿Y qué empresas son estas? ¿</w:t>
      </w:r>
      <w:r w:rsidRPr="0022169B">
        <w:rPr>
          <w:rFonts w:asciiTheme="minorHAnsi" w:eastAsia="Calibri" w:hAnsiTheme="minorHAnsi" w:cstheme="minorHAnsi"/>
          <w:sz w:val="21"/>
          <w:szCs w:val="21"/>
        </w:rPr>
        <w:t>A qué</w:t>
      </w:r>
      <w:r w:rsidRPr="0022169B">
        <w:rPr>
          <w:rFonts w:asciiTheme="minorHAnsi" w:eastAsia="Calibri" w:hAnsiTheme="minorHAnsi" w:cstheme="minorHAnsi"/>
          <w:color w:val="000000"/>
          <w:sz w:val="21"/>
          <w:szCs w:val="21"/>
        </w:rPr>
        <w:t xml:space="preserve"> se dedican? Para empezar, empresas</w:t>
      </w:r>
      <w:r>
        <w:rPr>
          <w:rFonts w:ascii="Calibri" w:eastAsia="Calibri" w:hAnsi="Calibri" w:cs="Calibri"/>
          <w:color w:val="000000"/>
          <w:sz w:val="21"/>
          <w:szCs w:val="21"/>
        </w:rPr>
        <w:t xml:space="preserve"> Marca España, como MAXAM holding y </w:t>
      </w:r>
      <w:proofErr w:type="spellStart"/>
      <w:r>
        <w:rPr>
          <w:rFonts w:ascii="Calibri" w:eastAsia="Calibri" w:hAnsi="Calibri" w:cs="Calibri"/>
          <w:color w:val="000000"/>
          <w:sz w:val="21"/>
          <w:szCs w:val="21"/>
        </w:rPr>
        <w:t>Navantia</w:t>
      </w:r>
      <w:proofErr w:type="spellEnd"/>
      <w:r>
        <w:rPr>
          <w:rFonts w:ascii="Calibri" w:eastAsia="Calibri" w:hAnsi="Calibri" w:cs="Calibri"/>
          <w:color w:val="000000"/>
          <w:sz w:val="21"/>
          <w:szCs w:val="21"/>
        </w:rPr>
        <w:t>.</w:t>
      </w:r>
    </w:p>
    <w:p w:rsidR="000F69BA" w:rsidRDefault="00827068">
      <w:pPr>
        <w:pBdr>
          <w:top w:val="nil"/>
          <w:left w:val="nil"/>
          <w:bottom w:val="nil"/>
          <w:right w:val="nil"/>
          <w:between w:val="nil"/>
        </w:pBdr>
        <w:spacing w:before="280" w:after="280"/>
        <w:jc w:val="both"/>
        <w:rPr>
          <w:rFonts w:ascii="Calibri" w:eastAsia="Calibri" w:hAnsi="Calibri" w:cs="Calibri"/>
          <w:color w:val="000000"/>
          <w:sz w:val="21"/>
          <w:szCs w:val="21"/>
        </w:rPr>
      </w:pPr>
      <w:r>
        <w:rPr>
          <w:rFonts w:ascii="Calibri" w:eastAsia="Calibri" w:hAnsi="Calibri" w:cs="Calibri"/>
          <w:color w:val="000000"/>
          <w:sz w:val="21"/>
          <w:szCs w:val="21"/>
        </w:rPr>
        <w:t xml:space="preserve">La naviera española </w:t>
      </w:r>
      <w:proofErr w:type="spellStart"/>
      <w:r>
        <w:rPr>
          <w:rFonts w:ascii="Calibri" w:eastAsia="Calibri" w:hAnsi="Calibri" w:cs="Calibri"/>
          <w:color w:val="000000"/>
          <w:sz w:val="21"/>
          <w:szCs w:val="21"/>
        </w:rPr>
        <w:t>Navantia</w:t>
      </w:r>
      <w:proofErr w:type="spellEnd"/>
      <w:r>
        <w:rPr>
          <w:rFonts w:ascii="Calibri" w:eastAsia="Calibri" w:hAnsi="Calibri" w:cs="Calibri"/>
          <w:color w:val="000000"/>
          <w:sz w:val="21"/>
          <w:szCs w:val="21"/>
        </w:rPr>
        <w:t xml:space="preserve"> es una de las seleccionadas desde el año 2015, cuando participaron en un crédito </w:t>
      </w:r>
      <w:proofErr w:type="spellStart"/>
      <w:r>
        <w:rPr>
          <w:rFonts w:ascii="Calibri" w:eastAsia="Calibri" w:hAnsi="Calibri" w:cs="Calibri"/>
          <w:i/>
          <w:color w:val="000000"/>
          <w:sz w:val="21"/>
          <w:szCs w:val="21"/>
        </w:rPr>
        <w:t>revolving</w:t>
      </w:r>
      <w:proofErr w:type="spellEnd"/>
      <w:r>
        <w:rPr>
          <w:rFonts w:ascii="Calibri" w:eastAsia="Calibri" w:hAnsi="Calibri" w:cs="Calibri"/>
          <w:color w:val="000000"/>
          <w:sz w:val="21"/>
          <w:szCs w:val="21"/>
        </w:rPr>
        <w:t xml:space="preserve"> sindicado junto con otras entidades de más de 347 millones de dólares. Santander aportó más</w:t>
      </w:r>
      <w:r>
        <w:rPr>
          <w:rFonts w:ascii="Calibri" w:eastAsia="Calibri" w:hAnsi="Calibri" w:cs="Calibri"/>
          <w:color w:val="000000"/>
          <w:sz w:val="21"/>
          <w:szCs w:val="21"/>
          <w:highlight w:val="white"/>
        </w:rPr>
        <w:t xml:space="preserve"> de 38 millones de </w:t>
      </w:r>
      <w:r>
        <w:rPr>
          <w:rFonts w:ascii="Calibri" w:eastAsia="Calibri" w:hAnsi="Calibri" w:cs="Calibri"/>
          <w:color w:val="000000"/>
          <w:sz w:val="21"/>
          <w:szCs w:val="21"/>
        </w:rPr>
        <w:t xml:space="preserve">dólares de facilidades de crédito. Cabe recordar que </w:t>
      </w:r>
      <w:proofErr w:type="spellStart"/>
      <w:r>
        <w:rPr>
          <w:rFonts w:ascii="Calibri" w:eastAsia="Calibri" w:hAnsi="Calibri" w:cs="Calibri"/>
          <w:color w:val="000000"/>
          <w:sz w:val="21"/>
          <w:szCs w:val="21"/>
        </w:rPr>
        <w:t>Navantia</w:t>
      </w:r>
      <w:proofErr w:type="spellEnd"/>
      <w:r>
        <w:rPr>
          <w:rFonts w:ascii="Calibri" w:eastAsia="Calibri" w:hAnsi="Calibri" w:cs="Calibri"/>
          <w:color w:val="000000"/>
          <w:sz w:val="21"/>
          <w:szCs w:val="21"/>
        </w:rPr>
        <w:t xml:space="preserve"> es la constructora de las cinco corbetas Avante-2200 encargadas por el gobierno de Arabia Saudí en 2018 y que se entregarán en 2022. Es preciso destacar especialmente este caso, porque </w:t>
      </w:r>
      <w:r>
        <w:rPr>
          <w:rFonts w:ascii="Calibri" w:eastAsia="Calibri" w:hAnsi="Calibri" w:cs="Calibri"/>
          <w:sz w:val="21"/>
          <w:szCs w:val="21"/>
        </w:rPr>
        <w:t>Arabia</w:t>
      </w:r>
      <w:r>
        <w:rPr>
          <w:rFonts w:ascii="Calibri" w:eastAsia="Calibri" w:hAnsi="Calibri" w:cs="Calibri"/>
          <w:color w:val="000000"/>
          <w:sz w:val="21"/>
          <w:szCs w:val="21"/>
        </w:rPr>
        <w:t xml:space="preserve"> Saudí es un país no muy amigo de los derechos humanos y que, actualmente y desde 2015, está implicado en uno de los conflictos bélicos más sangrientos contra la población civil: el conflicto yemení que, aunque especialmente silenciado por los medios de comunicación y la comunidad internacional, ha propiciado la crisis humanitaria más relevante de las últimas décadas.</w:t>
      </w:r>
    </w:p>
    <w:p w:rsidR="000F69BA" w:rsidRDefault="00827068">
      <w:pPr>
        <w:pBdr>
          <w:top w:val="nil"/>
          <w:left w:val="nil"/>
          <w:bottom w:val="nil"/>
          <w:right w:val="nil"/>
          <w:between w:val="nil"/>
        </w:pBdr>
        <w:spacing w:before="280" w:after="280"/>
        <w:jc w:val="both"/>
        <w:rPr>
          <w:rFonts w:ascii="Calibri" w:eastAsia="Calibri" w:hAnsi="Calibri" w:cs="Calibri"/>
          <w:color w:val="000000"/>
          <w:sz w:val="21"/>
          <w:szCs w:val="21"/>
        </w:rPr>
      </w:pPr>
      <w:r>
        <w:rPr>
          <w:rFonts w:ascii="Calibri" w:eastAsia="Calibri" w:hAnsi="Calibri" w:cs="Calibri"/>
          <w:color w:val="000000"/>
          <w:sz w:val="21"/>
          <w:szCs w:val="21"/>
        </w:rPr>
        <w:t xml:space="preserve">Pero el Santander es un banco global, y también ha hecho negocio con la prestación de servicios financieros y su participación accionarial en otras cinco empresas que también pueden haber vendido armas con destino a la guerra en Yemen: Airbus, Boeing, Leonardo, Thales y Rolls-Royce. En total, durante el período 2015-2019, el Banco Santander financió con 1.830 millones de dólares a estas 6 empresas, que han exportado armamento a Arabia Saudí y Emiratos Árabes Unidos, contendientes militares de este conflicto armado. </w:t>
      </w:r>
    </w:p>
    <w:p w:rsidR="000F69BA" w:rsidRDefault="00827068">
      <w:pPr>
        <w:pBdr>
          <w:top w:val="nil"/>
          <w:left w:val="nil"/>
          <w:bottom w:val="nil"/>
          <w:right w:val="nil"/>
          <w:between w:val="nil"/>
        </w:pBdr>
        <w:spacing w:before="280" w:after="280"/>
        <w:jc w:val="both"/>
        <w:rPr>
          <w:rFonts w:ascii="Calibri" w:eastAsia="Calibri" w:hAnsi="Calibri" w:cs="Calibri"/>
          <w:color w:val="000000"/>
          <w:sz w:val="21"/>
          <w:szCs w:val="21"/>
        </w:rPr>
      </w:pPr>
      <w:r>
        <w:rPr>
          <w:rFonts w:ascii="Calibri" w:eastAsia="Calibri" w:hAnsi="Calibri" w:cs="Calibri"/>
          <w:color w:val="000000"/>
          <w:sz w:val="21"/>
          <w:szCs w:val="21"/>
        </w:rPr>
        <w:t xml:space="preserve">La francesa Thales es la que ha recibido más apoyo en este período por parte del Santander, más de 650 millones de dólares. Thales, además de participar en la fabricación de armamento nuclear, también ha tenido como cliente final a Arabia Saudí y Emiratos Árabes Unidos, haciendo en la última década diversas exportaciones de radares y sensores. Los pedidos más recientes fueron radares COBRA de localización de armamento de alto calibre. Arabia Saudí pidió los suyos en 2014 y desde 2019 ya cuenta con ellos. Por su parte, Emiratos Árabes Unidos, realizó su pedido en 2019. </w:t>
      </w:r>
    </w:p>
    <w:p w:rsidR="000F69BA" w:rsidRDefault="00827068">
      <w:pPr>
        <w:pBdr>
          <w:top w:val="nil"/>
          <w:left w:val="nil"/>
          <w:bottom w:val="nil"/>
          <w:right w:val="nil"/>
          <w:between w:val="nil"/>
        </w:pBdr>
        <w:spacing w:before="280" w:after="280"/>
        <w:jc w:val="both"/>
        <w:rPr>
          <w:rFonts w:ascii="Calibri" w:eastAsia="Calibri" w:hAnsi="Calibri" w:cs="Calibri"/>
          <w:color w:val="000000"/>
          <w:sz w:val="21"/>
          <w:szCs w:val="21"/>
        </w:rPr>
      </w:pPr>
      <w:r>
        <w:rPr>
          <w:rFonts w:ascii="Calibri" w:eastAsia="Calibri" w:hAnsi="Calibri" w:cs="Calibri"/>
          <w:color w:val="000000"/>
          <w:sz w:val="21"/>
          <w:szCs w:val="21"/>
        </w:rPr>
        <w:t xml:space="preserve">Santander también participó en dos líneas de crédito </w:t>
      </w:r>
      <w:proofErr w:type="spellStart"/>
      <w:r>
        <w:rPr>
          <w:rFonts w:ascii="Calibri" w:eastAsia="Calibri" w:hAnsi="Calibri" w:cs="Calibri"/>
          <w:i/>
          <w:color w:val="000000"/>
          <w:sz w:val="21"/>
          <w:szCs w:val="21"/>
        </w:rPr>
        <w:t>revolving</w:t>
      </w:r>
      <w:proofErr w:type="spellEnd"/>
      <w:r>
        <w:rPr>
          <w:rFonts w:ascii="Calibri" w:eastAsia="Calibri" w:hAnsi="Calibri" w:cs="Calibri"/>
          <w:i/>
          <w:color w:val="000000"/>
          <w:sz w:val="21"/>
          <w:szCs w:val="21"/>
        </w:rPr>
        <w:t xml:space="preserve"> </w:t>
      </w:r>
      <w:r>
        <w:rPr>
          <w:rFonts w:ascii="Calibri" w:eastAsia="Calibri" w:hAnsi="Calibri" w:cs="Calibri"/>
          <w:color w:val="000000"/>
          <w:sz w:val="21"/>
          <w:szCs w:val="21"/>
        </w:rPr>
        <w:t>sindicado de más de 1.500 millones de dólares en 2015 y de 3.500 millones de dólares en 2018 otorgadas a Rolls-Royce, dónde asumió un 5% del importe en cada una de ellas, 96 y 175 millones de dólares respectivamente.</w:t>
      </w:r>
    </w:p>
    <w:p w:rsidR="000F69BA" w:rsidRDefault="00827068">
      <w:pPr>
        <w:pBdr>
          <w:top w:val="nil"/>
          <w:left w:val="nil"/>
          <w:bottom w:val="nil"/>
          <w:right w:val="nil"/>
          <w:between w:val="nil"/>
        </w:pBdr>
        <w:spacing w:before="280" w:after="280"/>
        <w:jc w:val="both"/>
        <w:rPr>
          <w:rFonts w:ascii="Calibri" w:eastAsia="Calibri" w:hAnsi="Calibri" w:cs="Calibri"/>
          <w:color w:val="000000"/>
          <w:sz w:val="21"/>
          <w:szCs w:val="21"/>
        </w:rPr>
      </w:pPr>
      <w:r>
        <w:rPr>
          <w:rFonts w:ascii="Calibri" w:eastAsia="Calibri" w:hAnsi="Calibri" w:cs="Calibri"/>
          <w:color w:val="000000"/>
          <w:sz w:val="21"/>
          <w:szCs w:val="21"/>
        </w:rPr>
        <w:lastRenderedPageBreak/>
        <w:t xml:space="preserve">También son destacables los datos que revela el informe </w:t>
      </w:r>
      <w:proofErr w:type="spellStart"/>
      <w:r>
        <w:rPr>
          <w:rFonts w:ascii="Calibri" w:eastAsia="Calibri" w:hAnsi="Calibri" w:cs="Calibri"/>
          <w:i/>
          <w:color w:val="000000"/>
          <w:sz w:val="21"/>
          <w:szCs w:val="21"/>
        </w:rPr>
        <w:t>Shorting</w:t>
      </w:r>
      <w:proofErr w:type="spellEnd"/>
      <w:r>
        <w:rPr>
          <w:rFonts w:ascii="Calibri" w:eastAsia="Calibri" w:hAnsi="Calibri" w:cs="Calibri"/>
          <w:i/>
          <w:color w:val="000000"/>
          <w:sz w:val="21"/>
          <w:szCs w:val="21"/>
        </w:rPr>
        <w:t xml:space="preserve"> </w:t>
      </w:r>
      <w:proofErr w:type="spellStart"/>
      <w:r>
        <w:rPr>
          <w:rFonts w:ascii="Calibri" w:eastAsia="Calibri" w:hAnsi="Calibri" w:cs="Calibri"/>
          <w:i/>
          <w:color w:val="000000"/>
          <w:sz w:val="21"/>
          <w:szCs w:val="21"/>
        </w:rPr>
        <w:t>our</w:t>
      </w:r>
      <w:proofErr w:type="spellEnd"/>
      <w:r>
        <w:rPr>
          <w:rFonts w:ascii="Calibri" w:eastAsia="Calibri" w:hAnsi="Calibri" w:cs="Calibri"/>
          <w:i/>
          <w:color w:val="000000"/>
          <w:sz w:val="21"/>
          <w:szCs w:val="21"/>
        </w:rPr>
        <w:t xml:space="preserve"> </w:t>
      </w:r>
      <w:proofErr w:type="spellStart"/>
      <w:r>
        <w:rPr>
          <w:rFonts w:ascii="Calibri" w:eastAsia="Calibri" w:hAnsi="Calibri" w:cs="Calibri"/>
          <w:i/>
          <w:color w:val="000000"/>
          <w:sz w:val="21"/>
          <w:szCs w:val="21"/>
        </w:rPr>
        <w:t>security</w:t>
      </w:r>
      <w:proofErr w:type="spellEnd"/>
      <w:r>
        <w:rPr>
          <w:rFonts w:ascii="Calibri" w:eastAsia="Calibri" w:hAnsi="Calibri" w:cs="Calibri"/>
          <w:i/>
          <w:color w:val="000000"/>
          <w:sz w:val="21"/>
          <w:szCs w:val="21"/>
        </w:rPr>
        <w:t xml:space="preserve">: </w:t>
      </w:r>
      <w:proofErr w:type="spellStart"/>
      <w:r>
        <w:rPr>
          <w:rFonts w:ascii="Calibri" w:eastAsia="Calibri" w:hAnsi="Calibri" w:cs="Calibri"/>
          <w:i/>
          <w:color w:val="000000"/>
          <w:sz w:val="21"/>
          <w:szCs w:val="21"/>
        </w:rPr>
        <w:t>Financing</w:t>
      </w:r>
      <w:proofErr w:type="spellEnd"/>
      <w:r>
        <w:rPr>
          <w:rFonts w:ascii="Calibri" w:eastAsia="Calibri" w:hAnsi="Calibri" w:cs="Calibri"/>
          <w:i/>
          <w:color w:val="000000"/>
          <w:sz w:val="21"/>
          <w:szCs w:val="21"/>
        </w:rPr>
        <w:t xml:space="preserve"> </w:t>
      </w:r>
      <w:proofErr w:type="spellStart"/>
      <w:r>
        <w:rPr>
          <w:rFonts w:ascii="Calibri" w:eastAsia="Calibri" w:hAnsi="Calibri" w:cs="Calibri"/>
          <w:i/>
          <w:color w:val="000000"/>
          <w:sz w:val="21"/>
          <w:szCs w:val="21"/>
        </w:rPr>
        <w:t>the</w:t>
      </w:r>
      <w:proofErr w:type="spellEnd"/>
      <w:r>
        <w:rPr>
          <w:rFonts w:ascii="Calibri" w:eastAsia="Calibri" w:hAnsi="Calibri" w:cs="Calibri"/>
          <w:i/>
          <w:color w:val="000000"/>
          <w:sz w:val="21"/>
          <w:szCs w:val="21"/>
        </w:rPr>
        <w:t xml:space="preserve"> </w:t>
      </w:r>
      <w:proofErr w:type="spellStart"/>
      <w:r>
        <w:rPr>
          <w:rFonts w:ascii="Calibri" w:eastAsia="Calibri" w:hAnsi="Calibri" w:cs="Calibri"/>
          <w:i/>
          <w:color w:val="000000"/>
          <w:sz w:val="21"/>
          <w:szCs w:val="21"/>
        </w:rPr>
        <w:t>companies</w:t>
      </w:r>
      <w:proofErr w:type="spellEnd"/>
      <w:r>
        <w:rPr>
          <w:rFonts w:ascii="Calibri" w:eastAsia="Calibri" w:hAnsi="Calibri" w:cs="Calibri"/>
          <w:i/>
          <w:color w:val="000000"/>
          <w:sz w:val="21"/>
          <w:szCs w:val="21"/>
        </w:rPr>
        <w:t xml:space="preserve"> </w:t>
      </w:r>
      <w:proofErr w:type="spellStart"/>
      <w:r>
        <w:rPr>
          <w:rFonts w:ascii="Calibri" w:eastAsia="Calibri" w:hAnsi="Calibri" w:cs="Calibri"/>
          <w:i/>
          <w:color w:val="000000"/>
          <w:sz w:val="21"/>
          <w:szCs w:val="21"/>
        </w:rPr>
        <w:t>that</w:t>
      </w:r>
      <w:proofErr w:type="spellEnd"/>
      <w:r>
        <w:rPr>
          <w:rFonts w:ascii="Calibri" w:eastAsia="Calibri" w:hAnsi="Calibri" w:cs="Calibri"/>
          <w:i/>
          <w:color w:val="000000"/>
          <w:sz w:val="21"/>
          <w:szCs w:val="21"/>
        </w:rPr>
        <w:t xml:space="preserve"> </w:t>
      </w:r>
      <w:proofErr w:type="spellStart"/>
      <w:r>
        <w:rPr>
          <w:rFonts w:ascii="Calibri" w:eastAsia="Calibri" w:hAnsi="Calibri" w:cs="Calibri"/>
          <w:i/>
          <w:color w:val="000000"/>
          <w:sz w:val="21"/>
          <w:szCs w:val="21"/>
        </w:rPr>
        <w:t>make</w:t>
      </w:r>
      <w:proofErr w:type="spellEnd"/>
      <w:r>
        <w:rPr>
          <w:rFonts w:ascii="Calibri" w:eastAsia="Calibri" w:hAnsi="Calibri" w:cs="Calibri"/>
          <w:i/>
          <w:color w:val="000000"/>
          <w:sz w:val="21"/>
          <w:szCs w:val="21"/>
        </w:rPr>
        <w:t xml:space="preserve"> nuclear </w:t>
      </w:r>
      <w:proofErr w:type="spellStart"/>
      <w:r>
        <w:rPr>
          <w:rFonts w:ascii="Calibri" w:eastAsia="Calibri" w:hAnsi="Calibri" w:cs="Calibri"/>
          <w:i/>
          <w:color w:val="000000"/>
          <w:sz w:val="21"/>
          <w:szCs w:val="21"/>
        </w:rPr>
        <w:t>weapons</w:t>
      </w:r>
      <w:proofErr w:type="spellEnd"/>
      <w:r>
        <w:rPr>
          <w:rFonts w:ascii="Calibri" w:eastAsia="Calibri" w:hAnsi="Calibri" w:cs="Calibri"/>
          <w:color w:val="000000"/>
          <w:sz w:val="21"/>
          <w:szCs w:val="21"/>
        </w:rPr>
        <w:t xml:space="preserve">, escrito y publicado por PAX, Profundo e ICAN, según los </w:t>
      </w:r>
      <w:r>
        <w:rPr>
          <w:rFonts w:ascii="Calibri" w:eastAsia="Calibri" w:hAnsi="Calibri" w:cs="Calibri"/>
          <w:sz w:val="21"/>
          <w:szCs w:val="21"/>
        </w:rPr>
        <w:t>cuales</w:t>
      </w:r>
      <w:r>
        <w:rPr>
          <w:rFonts w:ascii="Calibri" w:eastAsia="Calibri" w:hAnsi="Calibri" w:cs="Calibri"/>
          <w:color w:val="000000"/>
          <w:sz w:val="21"/>
          <w:szCs w:val="21"/>
        </w:rPr>
        <w:t xml:space="preserve"> ustedes han decidido invertir parte del patrimonio de sus accionistas y </w:t>
      </w:r>
      <w:r w:rsidRPr="00225E9E">
        <w:rPr>
          <w:rFonts w:ascii="Calibri" w:eastAsia="Calibri" w:hAnsi="Calibri" w:cs="Calibri"/>
          <w:color w:val="000000"/>
          <w:sz w:val="21"/>
          <w:szCs w:val="21"/>
        </w:rPr>
        <w:t>clientes</w:t>
      </w:r>
      <w:r>
        <w:rPr>
          <w:rFonts w:ascii="Calibri" w:eastAsia="Calibri" w:hAnsi="Calibri" w:cs="Calibri"/>
          <w:color w:val="000000"/>
          <w:sz w:val="21"/>
          <w:szCs w:val="21"/>
        </w:rPr>
        <w:t xml:space="preserve"> en las siguientes empresas relacionadas con el armamento nuclear: Thales, 652,7 millones de dólares, </w:t>
      </w:r>
      <w:proofErr w:type="spellStart"/>
      <w:r>
        <w:rPr>
          <w:rFonts w:ascii="Calibri" w:eastAsia="Calibri" w:hAnsi="Calibri" w:cs="Calibri"/>
          <w:color w:val="000000"/>
          <w:sz w:val="21"/>
          <w:szCs w:val="21"/>
        </w:rPr>
        <w:t>Safran</w:t>
      </w:r>
      <w:proofErr w:type="spellEnd"/>
      <w:r>
        <w:rPr>
          <w:rFonts w:ascii="Calibri" w:eastAsia="Calibri" w:hAnsi="Calibri" w:cs="Calibri"/>
          <w:color w:val="000000"/>
          <w:sz w:val="21"/>
          <w:szCs w:val="21"/>
        </w:rPr>
        <w:t xml:space="preserve">, 487,6 millones, Boeing, 417,7 millones, Airbus, 331,4 millones, </w:t>
      </w:r>
      <w:proofErr w:type="spellStart"/>
      <w:r>
        <w:rPr>
          <w:rFonts w:ascii="Calibri" w:eastAsia="Calibri" w:hAnsi="Calibri" w:cs="Calibri"/>
          <w:color w:val="000000"/>
          <w:sz w:val="21"/>
          <w:szCs w:val="21"/>
        </w:rPr>
        <w:t>Fluor</w:t>
      </w:r>
      <w:proofErr w:type="spellEnd"/>
      <w:r>
        <w:rPr>
          <w:rFonts w:ascii="Calibri" w:eastAsia="Calibri" w:hAnsi="Calibri" w:cs="Calibri"/>
          <w:color w:val="000000"/>
          <w:sz w:val="21"/>
          <w:szCs w:val="21"/>
        </w:rPr>
        <w:t xml:space="preserve">, 145 millones, </w:t>
      </w:r>
      <w:proofErr w:type="spellStart"/>
      <w:r>
        <w:rPr>
          <w:rFonts w:ascii="Calibri" w:eastAsia="Calibri" w:hAnsi="Calibri" w:cs="Calibri"/>
          <w:color w:val="000000"/>
          <w:sz w:val="21"/>
          <w:szCs w:val="21"/>
        </w:rPr>
        <w:t>Honeywell</w:t>
      </w:r>
      <w:proofErr w:type="spellEnd"/>
      <w:r>
        <w:rPr>
          <w:rFonts w:ascii="Calibri" w:eastAsia="Calibri" w:hAnsi="Calibri" w:cs="Calibri"/>
          <w:color w:val="000000"/>
          <w:sz w:val="21"/>
          <w:szCs w:val="21"/>
        </w:rPr>
        <w:t xml:space="preserve"> International también, 145 millones y </w:t>
      </w:r>
      <w:proofErr w:type="spellStart"/>
      <w:r>
        <w:rPr>
          <w:rFonts w:ascii="Calibri" w:eastAsia="Calibri" w:hAnsi="Calibri" w:cs="Calibri"/>
          <w:color w:val="000000"/>
          <w:sz w:val="21"/>
          <w:szCs w:val="21"/>
        </w:rPr>
        <w:t>Serco</w:t>
      </w:r>
      <w:proofErr w:type="spellEnd"/>
      <w:r>
        <w:rPr>
          <w:rFonts w:ascii="Calibri" w:eastAsia="Calibri" w:hAnsi="Calibri" w:cs="Calibri"/>
          <w:color w:val="000000"/>
          <w:sz w:val="21"/>
          <w:szCs w:val="21"/>
        </w:rPr>
        <w:t>, 14,3 millones. En total, 2.193,7 millones de dólares.</w:t>
      </w:r>
    </w:p>
    <w:p w:rsidR="000F69BA" w:rsidRDefault="00827068">
      <w:pPr>
        <w:pBdr>
          <w:top w:val="nil"/>
          <w:left w:val="nil"/>
          <w:bottom w:val="nil"/>
          <w:right w:val="nil"/>
          <w:between w:val="nil"/>
        </w:pBdr>
        <w:spacing w:before="280" w:after="280"/>
        <w:jc w:val="both"/>
        <w:rPr>
          <w:rFonts w:ascii="Calibri" w:eastAsia="Calibri" w:hAnsi="Calibri" w:cs="Calibri"/>
          <w:color w:val="000000"/>
          <w:sz w:val="21"/>
          <w:szCs w:val="21"/>
        </w:rPr>
      </w:pPr>
      <w:r>
        <w:rPr>
          <w:rFonts w:ascii="Calibri" w:eastAsia="Calibri" w:hAnsi="Calibri" w:cs="Calibri"/>
          <w:color w:val="000000"/>
          <w:sz w:val="21"/>
          <w:szCs w:val="21"/>
        </w:rPr>
        <w:t xml:space="preserve">Boeing, por ejemplo, está construyendo nuevas armas nucleares para Estados Unidos mediante un contrato de 349,2 millones de dólares para lo que se denomina “Disuasión Estratégica Terrestre”, que reemplazarán a los misiles balísticos intercontinentales nucleares </w:t>
      </w:r>
      <w:r>
        <w:rPr>
          <w:rFonts w:ascii="Calibri" w:eastAsia="Calibri" w:hAnsi="Calibri" w:cs="Calibri"/>
          <w:i/>
          <w:color w:val="000000"/>
          <w:sz w:val="21"/>
          <w:szCs w:val="21"/>
        </w:rPr>
        <w:t xml:space="preserve">ICBM </w:t>
      </w:r>
      <w:proofErr w:type="spellStart"/>
      <w:r>
        <w:rPr>
          <w:rFonts w:ascii="Calibri" w:eastAsia="Calibri" w:hAnsi="Calibri" w:cs="Calibri"/>
          <w:i/>
          <w:color w:val="000000"/>
          <w:sz w:val="21"/>
          <w:szCs w:val="21"/>
        </w:rPr>
        <w:t>Minuteman</w:t>
      </w:r>
      <w:proofErr w:type="spellEnd"/>
      <w:r>
        <w:rPr>
          <w:rFonts w:ascii="Calibri" w:eastAsia="Calibri" w:hAnsi="Calibri" w:cs="Calibri"/>
          <w:i/>
          <w:color w:val="000000"/>
          <w:sz w:val="21"/>
          <w:szCs w:val="21"/>
        </w:rPr>
        <w:t xml:space="preserve"> III</w:t>
      </w:r>
      <w:r>
        <w:rPr>
          <w:rFonts w:ascii="Calibri" w:eastAsia="Calibri" w:hAnsi="Calibri" w:cs="Calibri"/>
          <w:color w:val="000000"/>
          <w:sz w:val="21"/>
          <w:szCs w:val="21"/>
        </w:rPr>
        <w:t xml:space="preserve">. Otra de estas empresas, </w:t>
      </w:r>
      <w:proofErr w:type="spellStart"/>
      <w:r>
        <w:rPr>
          <w:rFonts w:ascii="Calibri" w:eastAsia="Calibri" w:hAnsi="Calibri" w:cs="Calibri"/>
          <w:color w:val="000000"/>
          <w:sz w:val="21"/>
          <w:szCs w:val="21"/>
        </w:rPr>
        <w:t>Fluor</w:t>
      </w:r>
      <w:proofErr w:type="spellEnd"/>
      <w:r>
        <w:rPr>
          <w:rFonts w:ascii="Calibri" w:eastAsia="Calibri" w:hAnsi="Calibri" w:cs="Calibri"/>
          <w:color w:val="000000"/>
          <w:sz w:val="21"/>
          <w:szCs w:val="21"/>
        </w:rPr>
        <w:t xml:space="preserve">, está involucrada en varias instalaciones empresariales de armas nucleares estadounidenses. A través de una empresa conjunta, </w:t>
      </w:r>
      <w:r>
        <w:rPr>
          <w:rFonts w:ascii="Calibri" w:eastAsia="Calibri" w:hAnsi="Calibri" w:cs="Calibri"/>
          <w:i/>
          <w:color w:val="000000"/>
          <w:sz w:val="21"/>
          <w:szCs w:val="21"/>
        </w:rPr>
        <w:t xml:space="preserve">Savannah </w:t>
      </w:r>
      <w:proofErr w:type="spellStart"/>
      <w:r>
        <w:rPr>
          <w:rFonts w:ascii="Calibri" w:eastAsia="Calibri" w:hAnsi="Calibri" w:cs="Calibri"/>
          <w:i/>
          <w:color w:val="000000"/>
          <w:sz w:val="21"/>
          <w:szCs w:val="21"/>
        </w:rPr>
        <w:t>River</w:t>
      </w:r>
      <w:proofErr w:type="spellEnd"/>
      <w:r>
        <w:rPr>
          <w:rFonts w:ascii="Calibri" w:eastAsia="Calibri" w:hAnsi="Calibri" w:cs="Calibri"/>
          <w:i/>
          <w:color w:val="000000"/>
          <w:sz w:val="21"/>
          <w:szCs w:val="21"/>
        </w:rPr>
        <w:t xml:space="preserve"> Nuclear </w:t>
      </w:r>
      <w:proofErr w:type="spellStart"/>
      <w:r>
        <w:rPr>
          <w:rFonts w:ascii="Calibri" w:eastAsia="Calibri" w:hAnsi="Calibri" w:cs="Calibri"/>
          <w:i/>
          <w:color w:val="000000"/>
          <w:sz w:val="21"/>
          <w:szCs w:val="21"/>
        </w:rPr>
        <w:t>Solutions</w:t>
      </w:r>
      <w:proofErr w:type="spellEnd"/>
      <w:r>
        <w:rPr>
          <w:rFonts w:ascii="Calibri" w:eastAsia="Calibri" w:hAnsi="Calibri" w:cs="Calibri"/>
          <w:color w:val="000000"/>
          <w:sz w:val="21"/>
          <w:szCs w:val="21"/>
        </w:rPr>
        <w:t xml:space="preserve"> (SRNS), tiene un contrato de 8 </w:t>
      </w:r>
      <w:r>
        <w:rPr>
          <w:rFonts w:ascii="Calibri" w:eastAsia="Calibri" w:hAnsi="Calibri" w:cs="Calibri"/>
          <w:sz w:val="21"/>
          <w:szCs w:val="21"/>
        </w:rPr>
        <w:t xml:space="preserve">mil millones </w:t>
      </w:r>
      <w:r>
        <w:rPr>
          <w:rFonts w:ascii="Calibri" w:eastAsia="Calibri" w:hAnsi="Calibri" w:cs="Calibri"/>
          <w:color w:val="000000"/>
          <w:sz w:val="21"/>
          <w:szCs w:val="21"/>
        </w:rPr>
        <w:t xml:space="preserve">de dólares para construir componentes clave para el programa </w:t>
      </w:r>
      <w:r>
        <w:rPr>
          <w:rFonts w:ascii="Calibri" w:eastAsia="Calibri" w:hAnsi="Calibri" w:cs="Calibri"/>
          <w:i/>
          <w:color w:val="000000"/>
          <w:sz w:val="21"/>
          <w:szCs w:val="21"/>
        </w:rPr>
        <w:t>W88 Alt370</w:t>
      </w:r>
      <w:r>
        <w:rPr>
          <w:rFonts w:ascii="Calibri" w:eastAsia="Calibri" w:hAnsi="Calibri" w:cs="Calibri"/>
          <w:color w:val="000000"/>
          <w:sz w:val="21"/>
          <w:szCs w:val="21"/>
        </w:rPr>
        <w:t xml:space="preserve">, la ojiva nuclear desplegada en el misil </w:t>
      </w:r>
      <w:r>
        <w:rPr>
          <w:rFonts w:ascii="Calibri" w:eastAsia="Calibri" w:hAnsi="Calibri" w:cs="Calibri"/>
          <w:i/>
          <w:color w:val="000000"/>
          <w:sz w:val="21"/>
          <w:szCs w:val="21"/>
        </w:rPr>
        <w:t>Trident II</w:t>
      </w:r>
      <w:r>
        <w:rPr>
          <w:rFonts w:ascii="Calibri" w:eastAsia="Calibri" w:hAnsi="Calibri" w:cs="Calibri"/>
          <w:color w:val="000000"/>
          <w:sz w:val="21"/>
          <w:szCs w:val="21"/>
        </w:rPr>
        <w:t>.</w:t>
      </w:r>
    </w:p>
    <w:p w:rsidR="000F69BA" w:rsidRDefault="00827068">
      <w:pPr>
        <w:pBdr>
          <w:top w:val="nil"/>
          <w:left w:val="nil"/>
          <w:bottom w:val="nil"/>
          <w:right w:val="nil"/>
          <w:between w:val="nil"/>
        </w:pBdr>
        <w:spacing w:before="280" w:after="280"/>
        <w:jc w:val="both"/>
        <w:rPr>
          <w:rFonts w:ascii="Calibri" w:eastAsia="Calibri" w:hAnsi="Calibri" w:cs="Calibri"/>
          <w:color w:val="000000"/>
          <w:sz w:val="21"/>
          <w:szCs w:val="21"/>
        </w:rPr>
      </w:pPr>
      <w:r>
        <w:rPr>
          <w:rFonts w:ascii="Calibri" w:eastAsia="Calibri" w:hAnsi="Calibri" w:cs="Calibri"/>
          <w:color w:val="000000"/>
          <w:sz w:val="21"/>
          <w:szCs w:val="21"/>
        </w:rPr>
        <w:t xml:space="preserve">Personalmente y como cliente/a de este banco, </w:t>
      </w:r>
      <w:r w:rsidR="00D615FE">
        <w:rPr>
          <w:rFonts w:ascii="Calibri" w:hAnsi="Calibri" w:cs="Calibri"/>
          <w:color w:val="000000"/>
          <w:sz w:val="21"/>
          <w:szCs w:val="21"/>
        </w:rPr>
        <w:t>siento una gran incomodidad y un particular disgusto en relación a estas prácticas</w:t>
      </w:r>
      <w:r>
        <w:rPr>
          <w:rFonts w:ascii="Calibri" w:eastAsia="Calibri" w:hAnsi="Calibri" w:cs="Calibri"/>
          <w:color w:val="000000"/>
          <w:sz w:val="21"/>
          <w:szCs w:val="21"/>
        </w:rPr>
        <w:t xml:space="preserve">. ¿Creen ustedes que es moralmente ético seguir ayudando a estas empresas a financiarse, mediante la concesión de créditos </w:t>
      </w:r>
      <w:proofErr w:type="spellStart"/>
      <w:r>
        <w:rPr>
          <w:rFonts w:ascii="Calibri" w:eastAsia="Calibri" w:hAnsi="Calibri" w:cs="Calibri"/>
          <w:i/>
          <w:color w:val="000000"/>
          <w:sz w:val="21"/>
          <w:szCs w:val="21"/>
        </w:rPr>
        <w:t>revolving</w:t>
      </w:r>
      <w:proofErr w:type="spellEnd"/>
      <w:r>
        <w:rPr>
          <w:rFonts w:ascii="Calibri" w:eastAsia="Calibri" w:hAnsi="Calibri" w:cs="Calibri"/>
          <w:color w:val="000000"/>
          <w:sz w:val="21"/>
          <w:szCs w:val="21"/>
        </w:rPr>
        <w:t xml:space="preserve"> o participando como </w:t>
      </w:r>
      <w:proofErr w:type="spellStart"/>
      <w:r>
        <w:rPr>
          <w:rFonts w:ascii="Calibri" w:eastAsia="Calibri" w:hAnsi="Calibri" w:cs="Calibri"/>
          <w:i/>
          <w:color w:val="000000"/>
          <w:sz w:val="21"/>
          <w:szCs w:val="21"/>
        </w:rPr>
        <w:t>bookrunners</w:t>
      </w:r>
      <w:proofErr w:type="spellEnd"/>
      <w:r>
        <w:rPr>
          <w:rFonts w:ascii="Calibri" w:eastAsia="Calibri" w:hAnsi="Calibri" w:cs="Calibri"/>
          <w:color w:val="000000"/>
          <w:sz w:val="21"/>
          <w:szCs w:val="21"/>
        </w:rPr>
        <w:t xml:space="preserve"> en sus emisiones de bonos a empresas que firman este tipo de contratos? ¿</w:t>
      </w:r>
      <w:r>
        <w:rPr>
          <w:rFonts w:ascii="Calibri" w:eastAsia="Calibri" w:hAnsi="Calibri" w:cs="Calibri"/>
          <w:sz w:val="21"/>
          <w:szCs w:val="21"/>
        </w:rPr>
        <w:t>Son</w:t>
      </w:r>
      <w:r>
        <w:rPr>
          <w:rFonts w:ascii="Calibri" w:eastAsia="Calibri" w:hAnsi="Calibri" w:cs="Calibri"/>
          <w:color w:val="000000"/>
          <w:sz w:val="21"/>
          <w:szCs w:val="21"/>
        </w:rPr>
        <w:t xml:space="preserve"> conscientes que dos terceras partes de sus inversiones en armamento están destinadas a empresas relacionadas con armas nucleares? </w:t>
      </w:r>
    </w:p>
    <w:p w:rsidR="000F69BA" w:rsidRDefault="00827068">
      <w:pPr>
        <w:pBdr>
          <w:top w:val="nil"/>
          <w:left w:val="nil"/>
          <w:bottom w:val="nil"/>
          <w:right w:val="nil"/>
          <w:between w:val="nil"/>
        </w:pBdr>
        <w:spacing w:before="280" w:after="280"/>
        <w:jc w:val="both"/>
        <w:rPr>
          <w:rFonts w:ascii="Calibri" w:eastAsia="Calibri" w:hAnsi="Calibri" w:cs="Calibri"/>
          <w:color w:val="000000"/>
          <w:sz w:val="21"/>
          <w:szCs w:val="21"/>
        </w:rPr>
      </w:pPr>
      <w:r>
        <w:rPr>
          <w:rFonts w:ascii="Calibri" w:eastAsia="Calibri" w:hAnsi="Calibri" w:cs="Calibri"/>
          <w:color w:val="000000"/>
          <w:sz w:val="21"/>
          <w:szCs w:val="21"/>
        </w:rPr>
        <w:t xml:space="preserve">Me gustaría aprovechar esta oportunidad para pedirles que dejen de invertir y financiar a este tipo de empresas y que se acojan a sus políticas de responsabilidad social, en las que aseguran que “el equipo ejecutivo y el consejo del Banco Santander tienen en consideración los aspectos sociales y ambientales en sus proyectos de inversión”. Pues esta afirmación es incompatible con la fabricación de armamento nuclear o de armas que se acaban destinando a países en conflicto armado. </w:t>
      </w:r>
    </w:p>
    <w:p w:rsidR="00D722F0" w:rsidRDefault="00D722F0" w:rsidP="00D722F0">
      <w:pPr>
        <w:pBdr>
          <w:top w:val="nil"/>
          <w:left w:val="nil"/>
          <w:bottom w:val="nil"/>
          <w:right w:val="nil"/>
          <w:between w:val="nil"/>
        </w:pBdr>
        <w:spacing w:after="280"/>
        <w:rPr>
          <w:rFonts w:ascii="Calibri" w:eastAsia="Calibri" w:hAnsi="Calibri" w:cs="Calibri"/>
          <w:sz w:val="21"/>
          <w:szCs w:val="21"/>
        </w:rPr>
      </w:pPr>
      <w:r>
        <w:rPr>
          <w:rFonts w:ascii="Calibri" w:eastAsia="Calibri" w:hAnsi="Calibri" w:cs="Calibri"/>
          <w:sz w:val="21"/>
          <w:szCs w:val="21"/>
        </w:rPr>
        <w:t>M</w:t>
      </w:r>
      <w:r w:rsidRPr="002A08C7">
        <w:rPr>
          <w:rFonts w:ascii="Calibri" w:eastAsia="Calibri" w:hAnsi="Calibri" w:cs="Calibri"/>
          <w:sz w:val="21"/>
          <w:szCs w:val="21"/>
        </w:rPr>
        <w:t>uy cordialmente,</w:t>
      </w:r>
    </w:p>
    <w:p w:rsidR="00D722F0" w:rsidRDefault="00D722F0" w:rsidP="00D722F0">
      <w:pPr>
        <w:pBdr>
          <w:top w:val="nil"/>
          <w:left w:val="nil"/>
          <w:bottom w:val="nil"/>
          <w:right w:val="nil"/>
          <w:between w:val="nil"/>
        </w:pBdr>
        <w:spacing w:after="280"/>
        <w:rPr>
          <w:rFonts w:ascii="Calibri" w:eastAsia="Calibri" w:hAnsi="Calibri" w:cs="Calibri"/>
          <w:sz w:val="21"/>
          <w:szCs w:val="21"/>
        </w:rPr>
      </w:pPr>
    </w:p>
    <w:p w:rsidR="00D722F0" w:rsidRDefault="00D722F0" w:rsidP="00D722F0">
      <w:pPr>
        <w:pBdr>
          <w:top w:val="nil"/>
          <w:left w:val="nil"/>
          <w:bottom w:val="nil"/>
          <w:right w:val="nil"/>
          <w:between w:val="nil"/>
        </w:pBdr>
        <w:spacing w:before="280" w:after="280"/>
        <w:jc w:val="both"/>
        <w:rPr>
          <w:rFonts w:ascii="Calibri" w:eastAsia="Calibri" w:hAnsi="Calibri" w:cs="Calibri"/>
          <w:color w:val="000000"/>
          <w:sz w:val="21"/>
          <w:szCs w:val="21"/>
        </w:rPr>
      </w:pPr>
      <w:r>
        <w:rPr>
          <w:rFonts w:ascii="Calibri" w:eastAsia="Calibri" w:hAnsi="Calibri" w:cs="Calibri"/>
          <w:sz w:val="21"/>
          <w:szCs w:val="21"/>
          <w:u w:val="single"/>
        </w:rPr>
        <w:t xml:space="preserve">                                                                           </w:t>
      </w:r>
      <w:r w:rsidRPr="002A08C7">
        <w:rPr>
          <w:rFonts w:ascii="Calibri" w:eastAsia="Calibri" w:hAnsi="Calibri" w:cs="Calibri"/>
          <w:color w:val="FFFFFF" w:themeColor="background1"/>
          <w:sz w:val="21"/>
          <w:szCs w:val="21"/>
          <w:u w:val="single"/>
        </w:rPr>
        <w:t>.</w:t>
      </w:r>
    </w:p>
    <w:sectPr w:rsidR="00D722F0" w:rsidSect="00712147">
      <w:pgSz w:w="11906" w:h="16838"/>
      <w:pgMar w:top="1440" w:right="1080" w:bottom="1440" w:left="1080" w:header="720" w:footer="720" w:gutter="0"/>
      <w:pgNumType w:start="1"/>
      <w:cols w:space="720"/>
      <w:docGrid w:linePitch="326"/>
    </w:sectPr>
  </w:body>
</w:document>
</file>

<file path=word/fontTable.xml><?xml version="1.0" encoding="utf-8"?>
<w:fonts xmlns:r="http://schemas.openxmlformats.org/officeDocument/2006/relationships" xmlns:w="http://schemas.openxmlformats.org/wordprocessingml/2006/main">
  <w:font w:name="Liberation Serif">
    <w:altName w:val="Times New Roman"/>
    <w:panose1 w:val="02020603050405020304"/>
    <w:charset w:val="00"/>
    <w:family w:val="roman"/>
    <w:pitch w:val="variable"/>
    <w:sig w:usb0="E0000AFF" w:usb1="500078FF" w:usb2="00000021" w:usb3="00000000" w:csb0="000001BF"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游ゴシック Light">
    <w:panose1 w:val="00000000000000000000"/>
    <w:charset w:val="80"/>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hyphenationZone w:val="425"/>
  <w:characterSpacingControl w:val="doNotCompress"/>
  <w:compat/>
  <w:rsids>
    <w:rsidRoot w:val="000F69BA"/>
    <w:rsid w:val="000A7AFD"/>
    <w:rsid w:val="000F69BA"/>
    <w:rsid w:val="001C5A7B"/>
    <w:rsid w:val="001C69A6"/>
    <w:rsid w:val="0022169B"/>
    <w:rsid w:val="00225E9E"/>
    <w:rsid w:val="0048252B"/>
    <w:rsid w:val="004F2DBD"/>
    <w:rsid w:val="00504052"/>
    <w:rsid w:val="006636AD"/>
    <w:rsid w:val="00712147"/>
    <w:rsid w:val="00827068"/>
    <w:rsid w:val="00A90980"/>
    <w:rsid w:val="00B407A6"/>
    <w:rsid w:val="00D615FE"/>
    <w:rsid w:val="00D722F0"/>
    <w:rsid w:val="00FC7F86"/>
  </w:rsids>
  <m:mathPr>
    <m:mathFont m:val="Cambria Math"/>
    <m:brkBin m:val="before"/>
    <m:brkBinSub m:val="--"/>
    <m:smallFrac m:val="off"/>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Liberation Serif" w:hAnsi="Liberation Serif" w:cs="Liberation Serif"/>
        <w:sz w:val="24"/>
        <w:szCs w:val="24"/>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27D"/>
  </w:style>
  <w:style w:type="paragraph" w:styleId="Ttulo1">
    <w:name w:val="heading 1"/>
    <w:basedOn w:val="Normal1"/>
    <w:next w:val="Normal1"/>
    <w:rsid w:val="00B407A6"/>
    <w:pPr>
      <w:keepNext/>
      <w:keepLines/>
      <w:spacing w:before="480" w:after="120"/>
      <w:outlineLvl w:val="0"/>
    </w:pPr>
    <w:rPr>
      <w:b/>
      <w:sz w:val="48"/>
      <w:szCs w:val="48"/>
    </w:rPr>
  </w:style>
  <w:style w:type="paragraph" w:styleId="Ttulo2">
    <w:name w:val="heading 2"/>
    <w:basedOn w:val="Normal1"/>
    <w:next w:val="Normal1"/>
    <w:rsid w:val="00B407A6"/>
    <w:pPr>
      <w:keepNext/>
      <w:keepLines/>
      <w:spacing w:before="360" w:after="80"/>
      <w:outlineLvl w:val="1"/>
    </w:pPr>
    <w:rPr>
      <w:b/>
      <w:sz w:val="36"/>
      <w:szCs w:val="36"/>
    </w:rPr>
  </w:style>
  <w:style w:type="paragraph" w:styleId="Ttulo3">
    <w:name w:val="heading 3"/>
    <w:basedOn w:val="Normal1"/>
    <w:next w:val="Normal1"/>
    <w:rsid w:val="00B407A6"/>
    <w:pPr>
      <w:keepNext/>
      <w:keepLines/>
      <w:spacing w:before="280" w:after="80"/>
      <w:outlineLvl w:val="2"/>
    </w:pPr>
    <w:rPr>
      <w:b/>
      <w:sz w:val="28"/>
      <w:szCs w:val="28"/>
    </w:rPr>
  </w:style>
  <w:style w:type="paragraph" w:styleId="Ttulo4">
    <w:name w:val="heading 4"/>
    <w:basedOn w:val="Normal1"/>
    <w:next w:val="Normal1"/>
    <w:rsid w:val="00B407A6"/>
    <w:pPr>
      <w:keepNext/>
      <w:keepLines/>
      <w:spacing w:before="240" w:after="40"/>
      <w:outlineLvl w:val="3"/>
    </w:pPr>
    <w:rPr>
      <w:b/>
    </w:rPr>
  </w:style>
  <w:style w:type="paragraph" w:styleId="Ttulo5">
    <w:name w:val="heading 5"/>
    <w:basedOn w:val="Normal1"/>
    <w:next w:val="Normal1"/>
    <w:rsid w:val="00B407A6"/>
    <w:pPr>
      <w:keepNext/>
      <w:keepLines/>
      <w:spacing w:before="220" w:after="40"/>
      <w:outlineLvl w:val="4"/>
    </w:pPr>
    <w:rPr>
      <w:b/>
      <w:sz w:val="22"/>
      <w:szCs w:val="22"/>
    </w:rPr>
  </w:style>
  <w:style w:type="paragraph" w:styleId="Ttulo6">
    <w:name w:val="heading 6"/>
    <w:basedOn w:val="Normal1"/>
    <w:next w:val="Normal1"/>
    <w:rsid w:val="00B407A6"/>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B407A6"/>
  </w:style>
  <w:style w:type="table" w:customStyle="1" w:styleId="TableNormal">
    <w:name w:val="Table Normal"/>
    <w:rsid w:val="00B407A6"/>
    <w:tblPr>
      <w:tblCellMar>
        <w:top w:w="0" w:type="dxa"/>
        <w:left w:w="0" w:type="dxa"/>
        <w:bottom w:w="0" w:type="dxa"/>
        <w:right w:w="0" w:type="dxa"/>
      </w:tblCellMar>
    </w:tblPr>
  </w:style>
  <w:style w:type="paragraph" w:styleId="Ttulo">
    <w:name w:val="Title"/>
    <w:basedOn w:val="Normal1"/>
    <w:next w:val="Normal1"/>
    <w:rsid w:val="00B407A6"/>
    <w:pPr>
      <w:keepNext/>
      <w:keepLines/>
      <w:spacing w:before="480" w:after="120"/>
    </w:pPr>
    <w:rPr>
      <w:b/>
      <w:sz w:val="72"/>
      <w:szCs w:val="72"/>
    </w:rPr>
  </w:style>
  <w:style w:type="paragraph" w:customStyle="1" w:styleId="Standard">
    <w:name w:val="Standard"/>
    <w:rsid w:val="0036327D"/>
  </w:style>
  <w:style w:type="paragraph" w:customStyle="1" w:styleId="Heading">
    <w:name w:val="Heading"/>
    <w:basedOn w:val="Standard"/>
    <w:next w:val="Textbody"/>
    <w:rsid w:val="0036327D"/>
    <w:pPr>
      <w:keepNext/>
      <w:spacing w:before="240" w:after="120"/>
    </w:pPr>
    <w:rPr>
      <w:rFonts w:ascii="Liberation Sans" w:hAnsi="Liberation Sans"/>
      <w:sz w:val="28"/>
      <w:szCs w:val="28"/>
    </w:rPr>
  </w:style>
  <w:style w:type="paragraph" w:customStyle="1" w:styleId="Textbody">
    <w:name w:val="Text body"/>
    <w:basedOn w:val="Standard"/>
    <w:rsid w:val="0036327D"/>
    <w:pPr>
      <w:spacing w:after="140" w:line="288" w:lineRule="auto"/>
    </w:pPr>
  </w:style>
  <w:style w:type="paragraph" w:styleId="Lista">
    <w:name w:val="List"/>
    <w:basedOn w:val="Textbody"/>
    <w:rsid w:val="0036327D"/>
  </w:style>
  <w:style w:type="paragraph" w:styleId="Epgrafe">
    <w:name w:val="caption"/>
    <w:basedOn w:val="Standard"/>
    <w:rsid w:val="0036327D"/>
    <w:pPr>
      <w:suppressLineNumbers/>
      <w:spacing w:before="120" w:after="120"/>
    </w:pPr>
    <w:rPr>
      <w:i/>
      <w:iCs/>
    </w:rPr>
  </w:style>
  <w:style w:type="paragraph" w:customStyle="1" w:styleId="Index">
    <w:name w:val="Index"/>
    <w:basedOn w:val="Standard"/>
    <w:rsid w:val="0036327D"/>
    <w:pPr>
      <w:suppressLineNumbers/>
    </w:pPr>
  </w:style>
  <w:style w:type="paragraph" w:customStyle="1" w:styleId="TableContents">
    <w:name w:val="Table Contents"/>
    <w:basedOn w:val="Standard"/>
    <w:rsid w:val="0036327D"/>
    <w:pPr>
      <w:suppressLineNumbers/>
    </w:pPr>
  </w:style>
  <w:style w:type="paragraph" w:customStyle="1" w:styleId="TableHeading">
    <w:name w:val="Table Heading"/>
    <w:basedOn w:val="TableContents"/>
    <w:rsid w:val="0036327D"/>
    <w:pPr>
      <w:jc w:val="center"/>
    </w:pPr>
    <w:rPr>
      <w:b/>
      <w:bCs/>
    </w:rPr>
  </w:style>
  <w:style w:type="character" w:customStyle="1" w:styleId="StrongEmphasis">
    <w:name w:val="Strong Emphasis"/>
    <w:rsid w:val="0036327D"/>
    <w:rPr>
      <w:b/>
      <w:bCs/>
    </w:rPr>
  </w:style>
  <w:style w:type="character" w:styleId="Refdecomentario">
    <w:name w:val="annotation reference"/>
    <w:basedOn w:val="Fuentedeprrafopredeter"/>
    <w:uiPriority w:val="99"/>
    <w:semiHidden/>
    <w:unhideWhenUsed/>
    <w:rsid w:val="00F90B98"/>
    <w:rPr>
      <w:sz w:val="18"/>
      <w:szCs w:val="18"/>
    </w:rPr>
  </w:style>
  <w:style w:type="paragraph" w:styleId="Textocomentario">
    <w:name w:val="annotation text"/>
    <w:basedOn w:val="Normal"/>
    <w:link w:val="TextocomentarioCar"/>
    <w:uiPriority w:val="99"/>
    <w:semiHidden/>
    <w:unhideWhenUsed/>
    <w:rsid w:val="00F90B98"/>
  </w:style>
  <w:style w:type="character" w:customStyle="1" w:styleId="TextocomentarioCar">
    <w:name w:val="Texto comentario Car"/>
    <w:basedOn w:val="Fuentedeprrafopredeter"/>
    <w:link w:val="Textocomentario"/>
    <w:uiPriority w:val="99"/>
    <w:semiHidden/>
    <w:rsid w:val="00F90B98"/>
  </w:style>
  <w:style w:type="paragraph" w:styleId="Asuntodelcomentario">
    <w:name w:val="annotation subject"/>
    <w:basedOn w:val="Textocomentario"/>
    <w:next w:val="Textocomentario"/>
    <w:link w:val="AsuntodelcomentarioCar"/>
    <w:uiPriority w:val="99"/>
    <w:semiHidden/>
    <w:unhideWhenUsed/>
    <w:rsid w:val="00F90B98"/>
    <w:rPr>
      <w:b/>
      <w:bCs/>
      <w:sz w:val="20"/>
      <w:szCs w:val="20"/>
    </w:rPr>
  </w:style>
  <w:style w:type="character" w:customStyle="1" w:styleId="AsuntodelcomentarioCar">
    <w:name w:val="Asunto del comentario Car"/>
    <w:basedOn w:val="TextocomentarioCar"/>
    <w:link w:val="Asuntodelcomentario"/>
    <w:uiPriority w:val="99"/>
    <w:semiHidden/>
    <w:rsid w:val="00F90B98"/>
    <w:rPr>
      <w:b/>
      <w:bCs/>
      <w:sz w:val="20"/>
      <w:szCs w:val="20"/>
    </w:rPr>
  </w:style>
  <w:style w:type="paragraph" w:styleId="Textodeglobo">
    <w:name w:val="Balloon Text"/>
    <w:basedOn w:val="Normal"/>
    <w:link w:val="TextodegloboCar"/>
    <w:uiPriority w:val="99"/>
    <w:semiHidden/>
    <w:unhideWhenUsed/>
    <w:rsid w:val="00F90B98"/>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F90B98"/>
    <w:rPr>
      <w:rFonts w:ascii="Lucida Grande" w:hAnsi="Lucida Grande" w:cs="Lucida Grande"/>
      <w:sz w:val="18"/>
      <w:szCs w:val="18"/>
    </w:rPr>
  </w:style>
  <w:style w:type="character" w:styleId="Hipervnculo">
    <w:name w:val="Hyperlink"/>
    <w:basedOn w:val="Fuentedeprrafopredeter"/>
    <w:uiPriority w:val="99"/>
    <w:unhideWhenUsed/>
    <w:rsid w:val="00F90B98"/>
    <w:rPr>
      <w:color w:val="0000FF"/>
      <w:u w:val="single"/>
    </w:rPr>
  </w:style>
  <w:style w:type="table" w:styleId="Tablaconcuadrcula">
    <w:name w:val="Table Grid"/>
    <w:basedOn w:val="Tablanormal"/>
    <w:uiPriority w:val="39"/>
    <w:rsid w:val="00F66D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3F2645"/>
    <w:pPr>
      <w:spacing w:before="100" w:beforeAutospacing="1" w:after="100" w:afterAutospacing="1"/>
    </w:pPr>
    <w:rPr>
      <w:rFonts w:ascii="Times" w:hAnsi="Times" w:cs="Times New Roman"/>
      <w:sz w:val="20"/>
      <w:szCs w:val="20"/>
    </w:rPr>
  </w:style>
  <w:style w:type="paragraph" w:styleId="Subttulo">
    <w:name w:val="Subtitle"/>
    <w:basedOn w:val="Normal"/>
    <w:next w:val="Normal"/>
    <w:rsid w:val="00B407A6"/>
    <w:pPr>
      <w:keepNext/>
      <w:keepLines/>
      <w:spacing w:before="360" w:after="80"/>
    </w:pPr>
    <w:rPr>
      <w:rFonts w:ascii="Georgia" w:eastAsia="Georgia" w:hAnsi="Georgia" w:cs="Georgia"/>
      <w:i/>
      <w:color w:val="666666"/>
      <w:sz w:val="48"/>
      <w:szCs w:val="48"/>
    </w:rPr>
  </w:style>
  <w:style w:type="table" w:customStyle="1" w:styleId="a">
    <w:basedOn w:val="TableNormal"/>
    <w:rsid w:val="00B407A6"/>
    <w:tblPr>
      <w:tblStyleRowBandSize w:val="1"/>
      <w:tblStyleColBandSize w:val="1"/>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hyperlink" Target="http://database.centredelas.org/?lang=e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pHmQGZKtH6cgLMnPXEGrKnGf+A==">AMUW2mVJv1xisTT5SX82fcKyqbH1aoX+Nh5QKgtVVqQ0+5n39IcMW8W9fPePXeRT5oNw6rCm/oxBYmO0WFnvG7ky+DzDNzVGJv/eoTELJADLB+0hp2JotaRC2b5XFLDDq+dOVufWCBIP</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9C92E1B-A064-4074-A051-F876895F1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994</Words>
  <Characters>5472</Characters>
  <Application>Microsoft Office Word</Application>
  <DocSecurity>0</DocSecurity>
  <Lines>45</Lines>
  <Paragraphs>12</Paragraphs>
  <ScaleCrop>false</ScaleCrop>
  <Company/>
  <LinksUpToDate>false</LinksUpToDate>
  <CharactersWithSpaces>6454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 Aragón Ruiz</dc:creator>
  <cp:lastModifiedBy>Usuario de Windows</cp:lastModifiedBy>
  <cp:revision>12</cp:revision>
  <dcterms:created xsi:type="dcterms:W3CDTF">2021-05-10T12:21:00Z</dcterms:created>
  <dcterms:modified xsi:type="dcterms:W3CDTF">2021-06-22T11:49:00Z</dcterms:modified>
</cp:coreProperties>
</file>