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C7" w:rsidRDefault="00DC7E6A" w:rsidP="00DC7E6A">
      <w:pPr>
        <w:pBdr>
          <w:top w:val="nil"/>
          <w:left w:val="nil"/>
          <w:bottom w:val="nil"/>
          <w:right w:val="nil"/>
          <w:between w:val="nil"/>
        </w:pBdr>
        <w:jc w:val="right"/>
        <w:rPr>
          <w:rFonts w:ascii="Calibri" w:eastAsia="Calibri" w:hAnsi="Calibri" w:cs="Calibri"/>
          <w:color w:val="000000"/>
          <w:sz w:val="21"/>
          <w:szCs w:val="21"/>
        </w:rPr>
      </w:pPr>
      <w:bookmarkStart w:id="0" w:name="_Hlk75178684"/>
      <w:r>
        <w:rPr>
          <w:rFonts w:ascii="Calibri" w:eastAsia="Calibri" w:hAnsi="Calibri" w:cs="Calibri"/>
          <w:color w:val="000000"/>
          <w:sz w:val="21"/>
          <w:szCs w:val="21"/>
          <w:u w:val="single"/>
        </w:rPr>
        <w:t xml:space="preserve">                                                          </w:t>
      </w:r>
      <w:r w:rsidR="007F2922">
        <w:rPr>
          <w:rFonts w:ascii="Calibri" w:eastAsia="Calibri" w:hAnsi="Calibri" w:cs="Calibri"/>
          <w:color w:val="000000"/>
          <w:sz w:val="21"/>
          <w:szCs w:val="21"/>
        </w:rPr>
        <w:t xml:space="preserve">, </w:t>
      </w:r>
      <w:r>
        <w:rPr>
          <w:rFonts w:ascii="Calibri" w:eastAsia="Calibri" w:hAnsi="Calibri" w:cs="Calibri"/>
          <w:color w:val="000000"/>
          <w:sz w:val="21"/>
          <w:szCs w:val="21"/>
          <w:u w:val="single"/>
        </w:rPr>
        <w:t xml:space="preserve">        </w:t>
      </w:r>
      <w:r>
        <w:rPr>
          <w:rFonts w:ascii="Calibri" w:eastAsia="Calibri" w:hAnsi="Calibri" w:cs="Calibri"/>
          <w:color w:val="000000"/>
          <w:sz w:val="21"/>
          <w:szCs w:val="21"/>
        </w:rPr>
        <w:t xml:space="preserve"> </w:t>
      </w:r>
      <w:r w:rsidR="007F2922">
        <w:rPr>
          <w:rFonts w:ascii="Calibri" w:eastAsia="Calibri" w:hAnsi="Calibri" w:cs="Calibri"/>
          <w:color w:val="000000"/>
          <w:sz w:val="21"/>
          <w:szCs w:val="21"/>
        </w:rPr>
        <w:t xml:space="preserve">de </w:t>
      </w:r>
      <w:r w:rsid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u w:val="single"/>
        </w:rPr>
        <w:t xml:space="preserve">        </w:t>
      </w:r>
      <w:r w:rsid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u w:val="single"/>
        </w:rPr>
        <w:t xml:space="preserve">  </w:t>
      </w:r>
      <w:r w:rsidR="00091048">
        <w:rPr>
          <w:rFonts w:ascii="Calibri" w:eastAsia="Calibri" w:hAnsi="Calibri" w:cs="Calibri"/>
          <w:color w:val="000000"/>
          <w:sz w:val="21"/>
          <w:szCs w:val="21"/>
          <w:u w:val="single"/>
        </w:rPr>
        <w:t xml:space="preserve">  </w:t>
      </w:r>
      <w:r>
        <w:rPr>
          <w:rFonts w:ascii="Calibri" w:eastAsia="Calibri" w:hAnsi="Calibri" w:cs="Calibri"/>
          <w:color w:val="000000"/>
          <w:sz w:val="21"/>
          <w:szCs w:val="21"/>
          <w:u w:val="single"/>
        </w:rPr>
        <w:t xml:space="preserve">     </w:t>
      </w:r>
      <w:r w:rsidR="00091048">
        <w:rPr>
          <w:rFonts w:ascii="Calibri" w:eastAsia="Calibri" w:hAnsi="Calibri" w:cs="Calibri"/>
          <w:color w:val="000000"/>
          <w:sz w:val="21"/>
          <w:szCs w:val="21"/>
          <w:u w:val="single"/>
        </w:rPr>
        <w:t xml:space="preserve">  </w:t>
      </w:r>
      <w:r w:rsidR="007F2922">
        <w:rPr>
          <w:rFonts w:ascii="Calibri" w:eastAsia="Calibri" w:hAnsi="Calibri" w:cs="Calibri"/>
          <w:color w:val="000000"/>
          <w:sz w:val="21"/>
          <w:szCs w:val="21"/>
        </w:rPr>
        <w:t xml:space="preserve"> de 2021</w:t>
      </w:r>
    </w:p>
    <w:bookmarkEnd w:id="0"/>
    <w:p w:rsidR="00F555C7" w:rsidRDefault="00F555C7">
      <w:pPr>
        <w:pBdr>
          <w:top w:val="nil"/>
          <w:left w:val="nil"/>
          <w:bottom w:val="nil"/>
          <w:right w:val="nil"/>
          <w:between w:val="nil"/>
        </w:pBdr>
        <w:jc w:val="both"/>
        <w:rPr>
          <w:rFonts w:ascii="Calibri" w:eastAsia="Calibri" w:hAnsi="Calibri" w:cs="Calibri"/>
          <w:color w:val="000000"/>
          <w:sz w:val="21"/>
          <w:szCs w:val="21"/>
        </w:rPr>
      </w:pPr>
    </w:p>
    <w:p w:rsidR="00F555C7" w:rsidRDefault="00F555C7">
      <w:pPr>
        <w:pBdr>
          <w:top w:val="nil"/>
          <w:left w:val="nil"/>
          <w:bottom w:val="nil"/>
          <w:right w:val="nil"/>
          <w:between w:val="nil"/>
        </w:pBdr>
        <w:jc w:val="both"/>
        <w:rPr>
          <w:rFonts w:ascii="Calibri" w:eastAsia="Calibri" w:hAnsi="Calibri" w:cs="Calibri"/>
          <w:color w:val="000000"/>
          <w:sz w:val="21"/>
          <w:szCs w:val="21"/>
        </w:rPr>
      </w:pPr>
    </w:p>
    <w:p w:rsidR="00F555C7" w:rsidRDefault="0044355B">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color w:val="000000"/>
          <w:sz w:val="21"/>
          <w:szCs w:val="21"/>
        </w:rPr>
        <w:t>A la atención de</w:t>
      </w:r>
      <w:r w:rsidR="00F35621">
        <w:rPr>
          <w:rFonts w:ascii="Calibri" w:eastAsia="Calibri" w:hAnsi="Calibri" w:cs="Calibri"/>
          <w:color w:val="000000"/>
          <w:sz w:val="21"/>
          <w:szCs w:val="21"/>
        </w:rPr>
        <w:t>l</w:t>
      </w:r>
      <w:r>
        <w:rPr>
          <w:rFonts w:ascii="Calibri" w:eastAsia="Calibri" w:hAnsi="Calibri" w:cs="Calibri"/>
          <w:color w:val="000000"/>
          <w:sz w:val="21"/>
          <w:szCs w:val="21"/>
        </w:rPr>
        <w:t xml:space="preserve">  </w:t>
      </w:r>
      <w:r w:rsidR="00F35621">
        <w:rPr>
          <w:rFonts w:ascii="Calibri" w:eastAsia="Calibri" w:hAnsi="Calibri" w:cs="Calibri"/>
          <w:color w:val="000000"/>
          <w:sz w:val="21"/>
          <w:szCs w:val="21"/>
        </w:rPr>
        <w:t>Servicio de Atención al Cliente</w:t>
      </w:r>
      <w:r w:rsidR="0015786D">
        <w:rPr>
          <w:rFonts w:ascii="Calibri" w:eastAsia="Calibri" w:hAnsi="Calibri" w:cs="Calibri"/>
          <w:color w:val="000000"/>
          <w:sz w:val="21"/>
          <w:szCs w:val="21"/>
        </w:rPr>
        <w:t>,</w:t>
      </w:r>
    </w:p>
    <w:p w:rsidR="0044355B" w:rsidRDefault="0044355B">
      <w:pPr>
        <w:pBdr>
          <w:top w:val="nil"/>
          <w:left w:val="nil"/>
          <w:bottom w:val="nil"/>
          <w:right w:val="nil"/>
          <w:between w:val="nil"/>
        </w:pBdr>
        <w:jc w:val="both"/>
        <w:rPr>
          <w:rFonts w:ascii="Calibri" w:eastAsia="Calibri" w:hAnsi="Calibri" w:cs="Calibri"/>
          <w:color w:val="000000"/>
          <w:sz w:val="21"/>
          <w:szCs w:val="21"/>
        </w:rPr>
      </w:pPr>
    </w:p>
    <w:p w:rsidR="00F555C7" w:rsidRDefault="00151053">
      <w:pPr>
        <w:pBdr>
          <w:top w:val="nil"/>
          <w:left w:val="nil"/>
          <w:bottom w:val="nil"/>
          <w:right w:val="nil"/>
          <w:between w:val="nil"/>
        </w:pBdr>
        <w:spacing w:before="280" w:after="280"/>
        <w:jc w:val="both"/>
        <w:rPr>
          <w:rFonts w:ascii="Calibri" w:eastAsia="Calibri" w:hAnsi="Calibri" w:cs="Calibri"/>
          <w:color w:val="000000"/>
          <w:sz w:val="21"/>
          <w:szCs w:val="21"/>
        </w:rPr>
      </w:pPr>
      <w:bookmarkStart w:id="1" w:name="_Hlk75178752"/>
      <w:r>
        <w:rPr>
          <w:rFonts w:ascii="Calibri" w:eastAsia="Calibri" w:hAnsi="Calibri" w:cs="Calibri"/>
          <w:color w:val="000000"/>
          <w:sz w:val="21"/>
          <w:szCs w:val="21"/>
        </w:rPr>
        <w:t xml:space="preserve">Yo, </w:t>
      </w:r>
      <w:r>
        <w:rPr>
          <w:rFonts w:ascii="Calibri" w:eastAsia="Calibri" w:hAnsi="Calibri" w:cs="Calibri"/>
          <w:color w:val="000000"/>
          <w:sz w:val="21"/>
          <w:szCs w:val="21"/>
          <w:u w:val="single"/>
        </w:rPr>
        <w:t xml:space="preserve"> </w:t>
      </w:r>
      <w:r w:rsidR="00F35621" w:rsidRPr="00091048">
        <w:rPr>
          <w:rFonts w:ascii="Calibri" w:eastAsia="Calibri" w:hAnsi="Calibri" w:cs="Calibri"/>
          <w:color w:val="000000"/>
          <w:sz w:val="21"/>
          <w:szCs w:val="21"/>
          <w:u w:val="single"/>
        </w:rPr>
        <w:t xml:space="preserve">                                                                </w:t>
      </w:r>
      <w:r w:rsidR="00F35621">
        <w:rPr>
          <w:rFonts w:ascii="Calibri" w:eastAsia="Calibri" w:hAnsi="Calibri" w:cs="Calibri"/>
          <w:color w:val="000000"/>
          <w:sz w:val="21"/>
          <w:szCs w:val="21"/>
        </w:rPr>
        <w:t>, con</w:t>
      </w:r>
      <w:r w:rsidR="00F35621" w:rsidRPr="00091048">
        <w:rPr>
          <w:rFonts w:ascii="Calibri" w:eastAsia="Calibri" w:hAnsi="Calibri" w:cs="Calibri"/>
          <w:color w:val="000000"/>
          <w:sz w:val="21"/>
          <w:szCs w:val="21"/>
        </w:rPr>
        <w:t xml:space="preserve"> DNI </w:t>
      </w:r>
      <w:r w:rsidR="00F35621" w:rsidRPr="00091048">
        <w:rPr>
          <w:rFonts w:ascii="Calibri" w:eastAsia="Calibri" w:hAnsi="Calibri" w:cs="Calibri"/>
          <w:color w:val="000000"/>
          <w:sz w:val="21"/>
          <w:szCs w:val="21"/>
          <w:u w:val="single"/>
        </w:rPr>
        <w:t xml:space="preserve">                                    </w:t>
      </w:r>
      <w:r w:rsidR="0044355B" w:rsidRPr="00091048">
        <w:rPr>
          <w:rFonts w:ascii="Calibri" w:eastAsia="Calibri" w:hAnsi="Calibri" w:cs="Calibri"/>
          <w:color w:val="000000"/>
          <w:sz w:val="21"/>
          <w:szCs w:val="21"/>
        </w:rPr>
        <w:t xml:space="preserve">, </w:t>
      </w:r>
      <w:bookmarkEnd w:id="1"/>
      <w:r w:rsidR="0044355B" w:rsidRPr="00091048">
        <w:rPr>
          <w:rFonts w:ascii="Calibri" w:eastAsia="Calibri" w:hAnsi="Calibri" w:cs="Calibri"/>
          <w:color w:val="000000"/>
          <w:sz w:val="21"/>
          <w:szCs w:val="21"/>
        </w:rPr>
        <w:t>en</w:t>
      </w:r>
      <w:r w:rsidR="0044355B">
        <w:rPr>
          <w:rFonts w:ascii="Calibri" w:eastAsia="Calibri" w:hAnsi="Calibri" w:cs="Calibri"/>
          <w:color w:val="000000"/>
          <w:sz w:val="21"/>
          <w:szCs w:val="21"/>
        </w:rPr>
        <w:t xml:space="preserve"> condición de cliente</w:t>
      </w:r>
      <w:r w:rsidR="0044355B" w:rsidRPr="00F35621">
        <w:rPr>
          <w:rFonts w:ascii="Calibri" w:eastAsia="Calibri" w:hAnsi="Calibri" w:cs="Calibri"/>
          <w:color w:val="000000"/>
          <w:sz w:val="21"/>
          <w:szCs w:val="21"/>
        </w:rPr>
        <w:t>/a</w:t>
      </w:r>
      <w:r w:rsidR="0044355B">
        <w:rPr>
          <w:rFonts w:ascii="Calibri" w:eastAsia="Calibri" w:hAnsi="Calibri" w:cs="Calibri"/>
          <w:color w:val="000000"/>
          <w:sz w:val="21"/>
          <w:szCs w:val="21"/>
        </w:rPr>
        <w:t xml:space="preserve"> del BBVA, me dirijo a ustedes para manifestarles mi completo desacuerdo con las políticas de inversión y financiación que vienen realizando en empresas de armamento durante los últimos años. Una queja que no es nueva para ustedes, puesto que es objeto de denuncia desde hace más de una década de la </w:t>
      </w:r>
      <w:r w:rsidR="0044355B">
        <w:rPr>
          <w:rFonts w:ascii="Calibri" w:eastAsia="Calibri" w:hAnsi="Calibri" w:cs="Calibri"/>
          <w:sz w:val="21"/>
          <w:szCs w:val="21"/>
        </w:rPr>
        <w:t>Campaña</w:t>
      </w:r>
      <w:r w:rsidR="0044355B">
        <w:rPr>
          <w:rFonts w:ascii="Calibri" w:eastAsia="Calibri" w:hAnsi="Calibri" w:cs="Calibri"/>
          <w:color w:val="000000"/>
          <w:sz w:val="21"/>
          <w:szCs w:val="21"/>
        </w:rPr>
        <w:t xml:space="preserve"> Banca Armada, promovida por el Centre Delàs </w:t>
      </w:r>
      <w:proofErr w:type="spellStart"/>
      <w:r w:rsidR="0044355B">
        <w:rPr>
          <w:rFonts w:ascii="Calibri" w:eastAsia="Calibri" w:hAnsi="Calibri" w:cs="Calibri"/>
          <w:color w:val="000000"/>
          <w:sz w:val="21"/>
          <w:szCs w:val="21"/>
        </w:rPr>
        <w:t>d'Estudis</w:t>
      </w:r>
      <w:proofErr w:type="spellEnd"/>
      <w:r w:rsidR="0044355B">
        <w:rPr>
          <w:rFonts w:ascii="Calibri" w:eastAsia="Calibri" w:hAnsi="Calibri" w:cs="Calibri"/>
          <w:color w:val="000000"/>
          <w:sz w:val="21"/>
          <w:szCs w:val="21"/>
        </w:rPr>
        <w:t xml:space="preserve"> per la Pau, SETEM, </w:t>
      </w:r>
      <w:proofErr w:type="spellStart"/>
      <w:r w:rsidR="0044355B">
        <w:rPr>
          <w:rFonts w:ascii="Calibri" w:eastAsia="Calibri" w:hAnsi="Calibri" w:cs="Calibri"/>
          <w:color w:val="000000"/>
          <w:sz w:val="21"/>
          <w:szCs w:val="21"/>
        </w:rPr>
        <w:t>Justícia</w:t>
      </w:r>
      <w:proofErr w:type="spellEnd"/>
      <w:r w:rsidR="0044355B">
        <w:rPr>
          <w:rFonts w:ascii="Calibri" w:eastAsia="Calibri" w:hAnsi="Calibri" w:cs="Calibri"/>
          <w:color w:val="000000"/>
          <w:sz w:val="21"/>
          <w:szCs w:val="21"/>
        </w:rPr>
        <w:t xml:space="preserve"> i Pau, </w:t>
      </w:r>
      <w:proofErr w:type="spellStart"/>
      <w:r w:rsidR="0044355B">
        <w:rPr>
          <w:rFonts w:ascii="Calibri" w:eastAsia="Calibri" w:hAnsi="Calibri" w:cs="Calibri"/>
          <w:color w:val="000000"/>
          <w:sz w:val="21"/>
          <w:szCs w:val="21"/>
        </w:rPr>
        <w:t>l'Observatori</w:t>
      </w:r>
      <w:proofErr w:type="spellEnd"/>
      <w:r w:rsidR="0044355B">
        <w:rPr>
          <w:rFonts w:ascii="Calibri" w:eastAsia="Calibri" w:hAnsi="Calibri" w:cs="Calibri"/>
          <w:color w:val="000000"/>
          <w:sz w:val="21"/>
          <w:szCs w:val="21"/>
        </w:rPr>
        <w:t xml:space="preserve"> del </w:t>
      </w:r>
      <w:proofErr w:type="spellStart"/>
      <w:r w:rsidR="0044355B">
        <w:rPr>
          <w:rFonts w:ascii="Calibri" w:eastAsia="Calibri" w:hAnsi="Calibri" w:cs="Calibri"/>
          <w:color w:val="000000"/>
          <w:sz w:val="21"/>
          <w:szCs w:val="21"/>
        </w:rPr>
        <w:t>Deute</w:t>
      </w:r>
      <w:proofErr w:type="spellEnd"/>
      <w:r w:rsidR="0044355B">
        <w:rPr>
          <w:rFonts w:ascii="Calibri" w:eastAsia="Calibri" w:hAnsi="Calibri" w:cs="Calibri"/>
          <w:color w:val="000000"/>
          <w:sz w:val="21"/>
          <w:szCs w:val="21"/>
        </w:rPr>
        <w:t xml:space="preserve"> en la </w:t>
      </w:r>
      <w:proofErr w:type="spellStart"/>
      <w:r w:rsidR="0044355B">
        <w:rPr>
          <w:rFonts w:ascii="Calibri" w:eastAsia="Calibri" w:hAnsi="Calibri" w:cs="Calibri"/>
          <w:color w:val="000000"/>
          <w:sz w:val="21"/>
          <w:szCs w:val="21"/>
        </w:rPr>
        <w:t>Globalització</w:t>
      </w:r>
      <w:proofErr w:type="spellEnd"/>
      <w:r w:rsidR="0044355B">
        <w:rPr>
          <w:rFonts w:ascii="Calibri" w:eastAsia="Calibri" w:hAnsi="Calibri" w:cs="Calibri"/>
          <w:color w:val="000000"/>
          <w:sz w:val="21"/>
          <w:szCs w:val="21"/>
        </w:rPr>
        <w:t xml:space="preserve">, FETS, Alternativa Antimilitarista-Movimiento de Objeción de Conciencia, </w:t>
      </w:r>
      <w:proofErr w:type="spellStart"/>
      <w:r w:rsidR="0044355B">
        <w:rPr>
          <w:rFonts w:ascii="Calibri" w:eastAsia="Calibri" w:hAnsi="Calibri" w:cs="Calibri"/>
          <w:color w:val="000000"/>
          <w:sz w:val="21"/>
          <w:szCs w:val="21"/>
        </w:rPr>
        <w:t>Col·lectiu</w:t>
      </w:r>
      <w:proofErr w:type="spellEnd"/>
      <w:r w:rsidR="0044355B">
        <w:rPr>
          <w:rFonts w:ascii="Calibri" w:eastAsia="Calibri" w:hAnsi="Calibri" w:cs="Calibri"/>
          <w:color w:val="000000"/>
          <w:sz w:val="21"/>
          <w:szCs w:val="21"/>
        </w:rPr>
        <w:t xml:space="preserve"> RETS, la </w:t>
      </w:r>
      <w:proofErr w:type="spellStart"/>
      <w:r w:rsidR="0044355B">
        <w:rPr>
          <w:rFonts w:ascii="Calibri" w:eastAsia="Calibri" w:hAnsi="Calibri" w:cs="Calibri"/>
          <w:color w:val="000000"/>
          <w:sz w:val="21"/>
          <w:szCs w:val="21"/>
        </w:rPr>
        <w:t>Fundació</w:t>
      </w:r>
      <w:proofErr w:type="spellEnd"/>
      <w:r w:rsidR="0044355B">
        <w:rPr>
          <w:rFonts w:ascii="Calibri" w:eastAsia="Calibri" w:hAnsi="Calibri" w:cs="Calibri"/>
          <w:color w:val="000000"/>
          <w:sz w:val="21"/>
          <w:szCs w:val="21"/>
        </w:rPr>
        <w:t xml:space="preserve"> Novessendes y la Fundación Finanzas Éticas.</w:t>
      </w:r>
    </w:p>
    <w:p w:rsidR="00F555C7" w:rsidRPr="00D62246" w:rsidRDefault="0044355B">
      <w:pPr>
        <w:pBdr>
          <w:top w:val="nil"/>
          <w:left w:val="nil"/>
          <w:bottom w:val="nil"/>
          <w:right w:val="nil"/>
          <w:between w:val="nil"/>
        </w:pBdr>
        <w:spacing w:before="280" w:after="280"/>
        <w:jc w:val="both"/>
      </w:pPr>
      <w:bookmarkStart w:id="2" w:name="_heading=h.gjdgxs" w:colFirst="0" w:colLast="0"/>
      <w:bookmarkEnd w:id="2"/>
      <w:r>
        <w:rPr>
          <w:rFonts w:ascii="Calibri" w:eastAsia="Calibri" w:hAnsi="Calibri" w:cs="Calibri"/>
          <w:color w:val="000000"/>
          <w:sz w:val="21"/>
          <w:szCs w:val="21"/>
        </w:rPr>
        <w:t xml:space="preserve">Empezaré destacando su política en materia de defensa, que dice textualmente que el BBVA: “No participará en operaciones relacionadas con el comercio armamentístico con países donde hay un alto riesgo de violación de los derechos humanos”. Sin embargo, en la base de datos de la banca armada del Centre Delàs </w:t>
      </w:r>
      <w:proofErr w:type="spellStart"/>
      <w:r>
        <w:rPr>
          <w:rFonts w:ascii="Calibri" w:eastAsia="Calibri" w:hAnsi="Calibri" w:cs="Calibri"/>
          <w:color w:val="000000"/>
          <w:sz w:val="21"/>
          <w:szCs w:val="21"/>
        </w:rPr>
        <w:t>d’Estudis</w:t>
      </w:r>
      <w:proofErr w:type="spellEnd"/>
      <w:r>
        <w:rPr>
          <w:rFonts w:ascii="Calibri" w:eastAsia="Calibri" w:hAnsi="Calibri" w:cs="Calibri"/>
          <w:color w:val="000000"/>
          <w:sz w:val="21"/>
          <w:szCs w:val="21"/>
        </w:rPr>
        <w:t xml:space="preserve"> per la Pau (</w:t>
      </w:r>
      <w:r w:rsidR="00D62246" w:rsidRPr="00D62246">
        <w:rPr>
          <w:rFonts w:ascii="Calibri" w:eastAsia="Calibri" w:hAnsi="Calibri" w:cs="Calibri"/>
          <w:color w:val="0000FF"/>
          <w:sz w:val="21"/>
          <w:szCs w:val="21"/>
          <w:u w:val="single"/>
        </w:rPr>
        <w:t>http://database.centredelas.org/lang=es</w:t>
      </w:r>
      <w:r>
        <w:rPr>
          <w:rFonts w:ascii="Calibri" w:eastAsia="Calibri" w:hAnsi="Calibri" w:cs="Calibri"/>
          <w:color w:val="000000"/>
          <w:sz w:val="21"/>
          <w:szCs w:val="21"/>
        </w:rPr>
        <w:t>), se puede comprobar que sí que invierten en empresas dedicadas a la fabricación o distribución de armamento, como a continuación plasmaré:</w:t>
      </w:r>
    </w:p>
    <w:p w:rsidR="00F555C7" w:rsidRDefault="0044355B">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Sólo en el período 2014-2019, ustedes han financiado con un total de </w:t>
      </w:r>
      <w:r w:rsidR="00D04AC6">
        <w:rPr>
          <w:rFonts w:ascii="Calibri" w:hAnsi="Calibri" w:cs="Calibri"/>
          <w:color w:val="000000"/>
          <w:sz w:val="21"/>
          <w:szCs w:val="21"/>
        </w:rPr>
        <w:t xml:space="preserve">3.400 millones de dólares </w:t>
      </w:r>
      <w:r>
        <w:rPr>
          <w:rFonts w:ascii="Calibri" w:eastAsia="Calibri" w:hAnsi="Calibri" w:cs="Calibri"/>
          <w:color w:val="000000"/>
          <w:sz w:val="21"/>
          <w:szCs w:val="21"/>
        </w:rPr>
        <w:t xml:space="preserve">a General Dynamics, Boeing, Airbus </w:t>
      </w:r>
      <w:proofErr w:type="spellStart"/>
      <w:r>
        <w:rPr>
          <w:rFonts w:ascii="Calibri" w:eastAsia="Calibri" w:hAnsi="Calibri" w:cs="Calibri"/>
          <w:color w:val="000000"/>
          <w:sz w:val="21"/>
          <w:szCs w:val="21"/>
        </w:rPr>
        <w:t>Group</w:t>
      </w:r>
      <w:proofErr w:type="spellEnd"/>
      <w:r>
        <w:rPr>
          <w:rFonts w:ascii="Calibri" w:eastAsia="Calibri" w:hAnsi="Calibri" w:cs="Calibri"/>
          <w:color w:val="000000"/>
          <w:sz w:val="21"/>
          <w:szCs w:val="21"/>
        </w:rPr>
        <w:t xml:space="preserve">, Leonardo,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 xml:space="preserve"> y </w:t>
      </w:r>
      <w:proofErr w:type="spellStart"/>
      <w:r>
        <w:rPr>
          <w:rFonts w:ascii="Calibri" w:eastAsia="Calibri" w:hAnsi="Calibri" w:cs="Calibri"/>
          <w:color w:val="000000"/>
          <w:sz w:val="21"/>
          <w:szCs w:val="21"/>
        </w:rPr>
        <w:t>Raytheon</w:t>
      </w:r>
      <w:proofErr w:type="spellEnd"/>
      <w:r>
        <w:rPr>
          <w:rFonts w:ascii="Calibri" w:eastAsia="Calibri" w:hAnsi="Calibri" w:cs="Calibri"/>
          <w:color w:val="000000"/>
          <w:sz w:val="21"/>
          <w:szCs w:val="21"/>
        </w:rPr>
        <w:t xml:space="preserve"> Technologies. Estas seis empresas exportan su armamento a Arabia Saudí, un país no muy amigo de los derechos humanos y que actualmente y desde 2015 está implicado en uno de los conflictos bélicos más sangrientos e infames contra la población civil. En el último </w:t>
      </w:r>
      <w:hyperlink r:id="rId5">
        <w:r>
          <w:rPr>
            <w:rFonts w:ascii="Calibri" w:eastAsia="Calibri" w:hAnsi="Calibri" w:cs="Calibri"/>
            <w:color w:val="0000FF"/>
            <w:sz w:val="21"/>
            <w:szCs w:val="21"/>
            <w:u w:val="single"/>
          </w:rPr>
          <w:t>informe del Centre Delàs sobre el financiamiento de las armas de la guerra del Yemen</w:t>
        </w:r>
      </w:hyperlink>
      <w:r>
        <w:rPr>
          <w:rFonts w:ascii="Calibri" w:eastAsia="Calibri" w:hAnsi="Calibri" w:cs="Calibri"/>
          <w:color w:val="000000"/>
          <w:sz w:val="21"/>
          <w:szCs w:val="21"/>
        </w:rPr>
        <w:t>, se puede comprobar qué tipo de armamento fabrica cada una de estas empresas. Haré alusión a casos concretos:</w:t>
      </w:r>
      <w:r>
        <w:rPr>
          <w:color w:val="000000"/>
          <w:sz w:val="21"/>
          <w:szCs w:val="21"/>
        </w:rPr>
        <w:t xml:space="preserve"> </w:t>
      </w:r>
      <w:r>
        <w:rPr>
          <w:rFonts w:ascii="Calibri" w:eastAsia="Calibri" w:hAnsi="Calibri" w:cs="Calibri"/>
          <w:color w:val="000000"/>
          <w:sz w:val="21"/>
          <w:szCs w:val="21"/>
        </w:rPr>
        <w:t xml:space="preserve">General Dynamics exporta carros de combate, Boeing bombas guiadas y helicópteros de combate, Airbus </w:t>
      </w:r>
      <w:proofErr w:type="spellStart"/>
      <w:r>
        <w:rPr>
          <w:rFonts w:ascii="Calibri" w:eastAsia="Calibri" w:hAnsi="Calibri" w:cs="Calibri"/>
          <w:color w:val="000000"/>
          <w:sz w:val="21"/>
          <w:szCs w:val="21"/>
        </w:rPr>
        <w:t>Group</w:t>
      </w:r>
      <w:proofErr w:type="spellEnd"/>
      <w:r>
        <w:rPr>
          <w:rFonts w:ascii="Calibri" w:eastAsia="Calibri" w:hAnsi="Calibri" w:cs="Calibri"/>
          <w:color w:val="000000"/>
          <w:sz w:val="21"/>
          <w:szCs w:val="21"/>
        </w:rPr>
        <w:t xml:space="preserve"> aeronaves, Leonardo radares y cañones navales, </w:t>
      </w:r>
      <w:proofErr w:type="spellStart"/>
      <w:r>
        <w:rPr>
          <w:rFonts w:ascii="Calibri" w:eastAsia="Calibri" w:hAnsi="Calibri" w:cs="Calibri"/>
          <w:color w:val="000000"/>
          <w:sz w:val="21"/>
          <w:szCs w:val="21"/>
        </w:rPr>
        <w:t>Navantia</w:t>
      </w:r>
      <w:proofErr w:type="spellEnd"/>
      <w:r>
        <w:rPr>
          <w:rFonts w:ascii="Calibri" w:eastAsia="Calibri" w:hAnsi="Calibri" w:cs="Calibri"/>
          <w:color w:val="000000"/>
          <w:sz w:val="21"/>
          <w:szCs w:val="21"/>
        </w:rPr>
        <w:t xml:space="preserve"> las famosas fragatas Avante-2200 y </w:t>
      </w:r>
      <w:proofErr w:type="spellStart"/>
      <w:r>
        <w:rPr>
          <w:rFonts w:ascii="Calibri" w:eastAsia="Calibri" w:hAnsi="Calibri" w:cs="Calibri"/>
          <w:color w:val="000000"/>
          <w:sz w:val="21"/>
          <w:szCs w:val="21"/>
        </w:rPr>
        <w:t>Raytheon</w:t>
      </w:r>
      <w:proofErr w:type="spellEnd"/>
      <w:r>
        <w:rPr>
          <w:rFonts w:ascii="Calibri" w:eastAsia="Calibri" w:hAnsi="Calibri" w:cs="Calibri"/>
          <w:color w:val="000000"/>
          <w:sz w:val="21"/>
          <w:szCs w:val="21"/>
        </w:rPr>
        <w:t xml:space="preserve"> Technologies bombas guiadas y sistemas de defensa aérea. </w:t>
      </w:r>
    </w:p>
    <w:p w:rsidR="00F555C7" w:rsidRDefault="0044355B">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Es más, hilemos más fino todavía: El informe de enero del 2017 del Panel de Expertos de las Naciones Unidas sobre Yemen, recoge ataques con el modelo de bomba guiada de </w:t>
      </w:r>
      <w:proofErr w:type="spellStart"/>
      <w:r>
        <w:rPr>
          <w:rFonts w:ascii="Calibri" w:eastAsia="Calibri" w:hAnsi="Calibri" w:cs="Calibri"/>
          <w:color w:val="000000"/>
          <w:sz w:val="21"/>
          <w:szCs w:val="21"/>
        </w:rPr>
        <w:t>Raytheon</w:t>
      </w:r>
      <w:proofErr w:type="spellEnd"/>
      <w:r>
        <w:rPr>
          <w:rFonts w:ascii="Calibri" w:eastAsia="Calibri" w:hAnsi="Calibri" w:cs="Calibri"/>
          <w:color w:val="000000"/>
          <w:sz w:val="21"/>
          <w:szCs w:val="21"/>
        </w:rPr>
        <w:t xml:space="preserve"> GBU-12 </w:t>
      </w:r>
      <w:proofErr w:type="spellStart"/>
      <w:r>
        <w:rPr>
          <w:rFonts w:ascii="Calibri" w:eastAsia="Calibri" w:hAnsi="Calibri" w:cs="Calibri"/>
          <w:color w:val="000000"/>
          <w:sz w:val="21"/>
          <w:szCs w:val="21"/>
        </w:rPr>
        <w:t>Paveway</w:t>
      </w:r>
      <w:proofErr w:type="spellEnd"/>
      <w:r>
        <w:rPr>
          <w:rFonts w:ascii="Calibri" w:eastAsia="Calibri" w:hAnsi="Calibri" w:cs="Calibri"/>
          <w:color w:val="000000"/>
          <w:sz w:val="21"/>
          <w:szCs w:val="21"/>
        </w:rPr>
        <w:t xml:space="preserve">. Aunque por las pruebas que consigue obtener el grupo de expertos sobre el terreno, que se reducen a documentos gráficos de fragmentos de estas bombas guiadas, no se puede identificar el origen concreto de su fabricación, el documento sí que afirma que únicamente la coalición liderada por Arabia Saudí tuvo potencial para hacer este ataque. </w:t>
      </w:r>
    </w:p>
    <w:p w:rsidR="00F555C7" w:rsidRDefault="0044355B">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En el análisis del Centre Delàs sobre las exportaciones realizadas a Arabia Saudí y Emiratos Árabes Unidos (EAU), todo parece apuntar a que los proyectiles habrían sido lanzados por Arabia Saudí, ya que EAU no habría solicitado la fabricación de este armamento a </w:t>
      </w:r>
      <w:proofErr w:type="spellStart"/>
      <w:r>
        <w:rPr>
          <w:rFonts w:ascii="Calibri" w:eastAsia="Calibri" w:hAnsi="Calibri" w:cs="Calibri"/>
          <w:color w:val="000000"/>
          <w:sz w:val="21"/>
          <w:szCs w:val="21"/>
        </w:rPr>
        <w:t>Raytheon</w:t>
      </w:r>
      <w:proofErr w:type="spellEnd"/>
      <w:r>
        <w:rPr>
          <w:rFonts w:ascii="Calibri" w:eastAsia="Calibri" w:hAnsi="Calibri" w:cs="Calibri"/>
          <w:color w:val="000000"/>
          <w:sz w:val="21"/>
          <w:szCs w:val="21"/>
        </w:rPr>
        <w:t xml:space="preserve"> Technologies hasta 2017. Volviendo al informe del Panel de Expertos de la ONU, las bombas se utilizaron para atacar al hospital de </w:t>
      </w:r>
      <w:proofErr w:type="spellStart"/>
      <w:r>
        <w:rPr>
          <w:rFonts w:ascii="Calibri" w:eastAsia="Calibri" w:hAnsi="Calibri" w:cs="Calibri"/>
          <w:color w:val="000000"/>
          <w:sz w:val="21"/>
          <w:szCs w:val="21"/>
        </w:rPr>
        <w:t>Hajjah</w:t>
      </w:r>
      <w:proofErr w:type="spellEnd"/>
      <w:r>
        <w:rPr>
          <w:rFonts w:ascii="Calibri" w:eastAsia="Calibri" w:hAnsi="Calibri" w:cs="Calibri"/>
          <w:color w:val="000000"/>
          <w:sz w:val="21"/>
          <w:szCs w:val="21"/>
        </w:rPr>
        <w:t xml:space="preserve"> el 15 de agosto de 2016 y el 8 de octubre del mismo año un funeral civil en </w:t>
      </w:r>
      <w:proofErr w:type="spellStart"/>
      <w:r>
        <w:rPr>
          <w:rFonts w:ascii="Calibri" w:eastAsia="Calibri" w:hAnsi="Calibri" w:cs="Calibri"/>
          <w:color w:val="000000"/>
          <w:sz w:val="21"/>
          <w:szCs w:val="21"/>
        </w:rPr>
        <w:t>Sana’a</w:t>
      </w:r>
      <w:proofErr w:type="spellEnd"/>
      <w:r>
        <w:rPr>
          <w:rFonts w:ascii="Calibri" w:eastAsia="Calibri" w:hAnsi="Calibri" w:cs="Calibri"/>
          <w:color w:val="000000"/>
          <w:sz w:val="21"/>
          <w:szCs w:val="21"/>
        </w:rPr>
        <w:t xml:space="preserve">. En el ataque al hospital fallecieron 19 personas y 24 resultaron heridas, mientras que en el ataque al funeral civil perdieron su vida 32 personas y 695 resultaron heridas. Hay que señalar que </w:t>
      </w:r>
      <w:proofErr w:type="spellStart"/>
      <w:r>
        <w:rPr>
          <w:rFonts w:ascii="Calibri" w:eastAsia="Calibri" w:hAnsi="Calibri" w:cs="Calibri"/>
          <w:color w:val="000000"/>
          <w:sz w:val="21"/>
          <w:szCs w:val="21"/>
        </w:rPr>
        <w:t>Raytheon</w:t>
      </w:r>
      <w:proofErr w:type="spellEnd"/>
      <w:r>
        <w:rPr>
          <w:rFonts w:ascii="Calibri" w:eastAsia="Calibri" w:hAnsi="Calibri" w:cs="Calibri"/>
          <w:color w:val="000000"/>
          <w:sz w:val="21"/>
          <w:szCs w:val="21"/>
        </w:rPr>
        <w:t xml:space="preserve"> Technologies ha estado fabricando este tipo de material con destino a Arabia Saudí desde, aproximadamente, 2011 y sigue sin haber cesado esta actividad, pues en 2019 recibió el encargo de fabricar 50.000 nuevas unidades de este modelo de bomba guiada para Arabia Saudí.</w:t>
      </w:r>
    </w:p>
    <w:p w:rsidR="00F555C7" w:rsidRDefault="0044355B">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Por otro lado, aludiendo nuevamente a su normativa en materia de defensa, el BBVA: “no invertirá ni ofrecerá servicios financieros a empresas relacionadas con armamento que se considera controvertido”, entre ellas las armas nucleares, y que “la propiedad, producción, proliferación y uso de armas nucleares están estrictamente regulados y supervisados a través del TNP (Tratado de No Proliferación). Como parte de este tratado, se acepta que China, Francia, Rusia, el Reino Unido y Estados Unidos produzcan y estén en posesión de armas nucleares.”</w:t>
      </w:r>
    </w:p>
    <w:p w:rsidR="00F555C7" w:rsidRDefault="0044355B" w:rsidP="00317B99">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xml:space="preserve">Pues bien, </w:t>
      </w:r>
      <w:r w:rsidR="00317B99">
        <w:rPr>
          <w:rFonts w:ascii="Calibri" w:eastAsia="Calibri" w:hAnsi="Calibri" w:cs="Calibri"/>
          <w:color w:val="000000"/>
          <w:sz w:val="21"/>
          <w:szCs w:val="21"/>
        </w:rPr>
        <w:t>s</w:t>
      </w:r>
      <w:r>
        <w:rPr>
          <w:rFonts w:ascii="Calibri" w:eastAsia="Calibri" w:hAnsi="Calibri" w:cs="Calibri"/>
          <w:color w:val="000000"/>
          <w:sz w:val="21"/>
          <w:szCs w:val="21"/>
        </w:rPr>
        <w:t xml:space="preserve">egún revela el informe </w:t>
      </w:r>
      <w:hyperlink r:id="rId6">
        <w:proofErr w:type="spellStart"/>
        <w:r>
          <w:rPr>
            <w:rFonts w:ascii="Calibri" w:eastAsia="Calibri" w:hAnsi="Calibri" w:cs="Calibri"/>
            <w:i/>
            <w:color w:val="0000FF"/>
            <w:sz w:val="21"/>
            <w:szCs w:val="21"/>
            <w:u w:val="single"/>
          </w:rPr>
          <w:t>Shorting</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our</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security</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Financing</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the</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companies</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that</w:t>
        </w:r>
        <w:proofErr w:type="spellEnd"/>
        <w:r>
          <w:rPr>
            <w:rFonts w:ascii="Calibri" w:eastAsia="Calibri" w:hAnsi="Calibri" w:cs="Calibri"/>
            <w:i/>
            <w:color w:val="0000FF"/>
            <w:sz w:val="21"/>
            <w:szCs w:val="21"/>
            <w:u w:val="single"/>
          </w:rPr>
          <w:t xml:space="preserve"> </w:t>
        </w:r>
        <w:proofErr w:type="spellStart"/>
        <w:r>
          <w:rPr>
            <w:rFonts w:ascii="Calibri" w:eastAsia="Calibri" w:hAnsi="Calibri" w:cs="Calibri"/>
            <w:i/>
            <w:color w:val="0000FF"/>
            <w:sz w:val="21"/>
            <w:szCs w:val="21"/>
            <w:u w:val="single"/>
          </w:rPr>
          <w:t>make</w:t>
        </w:r>
        <w:proofErr w:type="spellEnd"/>
        <w:r>
          <w:rPr>
            <w:rFonts w:ascii="Calibri" w:eastAsia="Calibri" w:hAnsi="Calibri" w:cs="Calibri"/>
            <w:i/>
            <w:color w:val="0000FF"/>
            <w:sz w:val="21"/>
            <w:szCs w:val="21"/>
            <w:u w:val="single"/>
          </w:rPr>
          <w:t xml:space="preserve"> nuclear </w:t>
        </w:r>
        <w:proofErr w:type="spellStart"/>
        <w:r>
          <w:rPr>
            <w:rFonts w:ascii="Calibri" w:eastAsia="Calibri" w:hAnsi="Calibri" w:cs="Calibri"/>
            <w:i/>
            <w:color w:val="0000FF"/>
            <w:sz w:val="21"/>
            <w:szCs w:val="21"/>
            <w:u w:val="single"/>
          </w:rPr>
          <w:t>weapons</w:t>
        </w:r>
        <w:proofErr w:type="spellEnd"/>
      </w:hyperlink>
      <w:r>
        <w:rPr>
          <w:rFonts w:ascii="Calibri" w:eastAsia="Calibri" w:hAnsi="Calibri" w:cs="Calibri"/>
          <w:color w:val="000000"/>
          <w:sz w:val="21"/>
          <w:szCs w:val="21"/>
        </w:rPr>
        <w:t>, publicado en junio de 2019 por PAX, Profundo y ICAN, el BBVA ha invertido recientemente 2.528,2 millones de dólares en General Dynamics. Esta empresa de armamento tiene una serie de contratos relacionados con componentes clave para el misil nuclear Trident II que comparten el Reino Unido y Estados Unidos. El contrato inicial de 28,2 millones de dólares adjudicado en 2015 ha sido modificado repetidamente entre 2017 y 2018 para llegar a una cifra de 155,6 millones de dólares.</w:t>
      </w:r>
    </w:p>
    <w:p w:rsidR="00F555C7" w:rsidRDefault="0044355B" w:rsidP="00317B99">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 xml:space="preserve">Además, su filial, General Dynamics Electric </w:t>
      </w:r>
      <w:proofErr w:type="spellStart"/>
      <w:r>
        <w:rPr>
          <w:rFonts w:ascii="Calibri" w:eastAsia="Calibri" w:hAnsi="Calibri" w:cs="Calibri"/>
          <w:color w:val="000000"/>
          <w:sz w:val="21"/>
          <w:szCs w:val="21"/>
        </w:rPr>
        <w:t>Boat</w:t>
      </w:r>
      <w:proofErr w:type="spellEnd"/>
      <w:r>
        <w:rPr>
          <w:rFonts w:ascii="Calibri" w:eastAsia="Calibri" w:hAnsi="Calibri" w:cs="Calibri"/>
          <w:color w:val="000000"/>
          <w:sz w:val="21"/>
          <w:szCs w:val="21"/>
        </w:rPr>
        <w:t xml:space="preserve">, recibió un contrato por valor de 46,5 millones de dólares en septiembre de 2017 para la integración del kit de Sistema de Apoyo Estratégico de Armas del Reino Unido en la balística de sus submarinos de misiles nucleares. En 2018 este contrato fue modificado significativamente, hasta alcanzar la cifra de 480,6 millones de dólares. Además de General Dynamics, su banco también ha financiado a otras empresas involucradas en la fabricación de armamento nuclear como </w:t>
      </w:r>
      <w:proofErr w:type="spellStart"/>
      <w:r>
        <w:rPr>
          <w:rFonts w:ascii="Calibri" w:eastAsia="Calibri" w:hAnsi="Calibri" w:cs="Calibri"/>
          <w:color w:val="000000"/>
          <w:sz w:val="21"/>
          <w:szCs w:val="21"/>
        </w:rPr>
        <w:t>Aecom</w:t>
      </w:r>
      <w:proofErr w:type="spellEnd"/>
      <w:r>
        <w:rPr>
          <w:rFonts w:ascii="Calibri" w:eastAsia="Calibri" w:hAnsi="Calibri" w:cs="Calibri"/>
          <w:color w:val="000000"/>
          <w:sz w:val="21"/>
          <w:szCs w:val="21"/>
        </w:rPr>
        <w:t xml:space="preserve">, Airbus </w:t>
      </w:r>
      <w:proofErr w:type="spellStart"/>
      <w:r>
        <w:rPr>
          <w:rFonts w:ascii="Calibri" w:eastAsia="Calibri" w:hAnsi="Calibri" w:cs="Calibri"/>
          <w:color w:val="000000"/>
          <w:sz w:val="21"/>
          <w:szCs w:val="21"/>
        </w:rPr>
        <w:t>Group</w:t>
      </w:r>
      <w:proofErr w:type="spellEnd"/>
      <w:r>
        <w:rPr>
          <w:rFonts w:ascii="Calibri" w:eastAsia="Calibri" w:hAnsi="Calibri" w:cs="Calibri"/>
          <w:color w:val="000000"/>
          <w:sz w:val="21"/>
          <w:szCs w:val="21"/>
        </w:rPr>
        <w:t xml:space="preserve">, Boeing, BWX Technologies, </w:t>
      </w:r>
      <w:proofErr w:type="spellStart"/>
      <w:r>
        <w:rPr>
          <w:rFonts w:ascii="Calibri" w:eastAsia="Calibri" w:hAnsi="Calibri" w:cs="Calibri"/>
          <w:color w:val="000000"/>
          <w:sz w:val="21"/>
          <w:szCs w:val="21"/>
        </w:rPr>
        <w:t>Jacobs</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Engineering</w:t>
      </w:r>
      <w:proofErr w:type="spellEnd"/>
      <w:r>
        <w:rPr>
          <w:rFonts w:ascii="Calibri" w:eastAsia="Calibri" w:hAnsi="Calibri" w:cs="Calibri"/>
          <w:sz w:val="21"/>
          <w:szCs w:val="21"/>
        </w:rPr>
        <w:t xml:space="preserve"> y </w:t>
      </w:r>
      <w:proofErr w:type="spellStart"/>
      <w:r>
        <w:rPr>
          <w:rFonts w:ascii="Calibri" w:eastAsia="Calibri" w:hAnsi="Calibri" w:cs="Calibri"/>
          <w:color w:val="000000"/>
          <w:sz w:val="21"/>
          <w:szCs w:val="21"/>
        </w:rPr>
        <w:t>Honeywell</w:t>
      </w:r>
      <w:proofErr w:type="spellEnd"/>
      <w:r>
        <w:rPr>
          <w:rFonts w:ascii="Calibri" w:eastAsia="Calibri" w:hAnsi="Calibri" w:cs="Calibri"/>
          <w:color w:val="000000"/>
          <w:sz w:val="21"/>
          <w:szCs w:val="21"/>
        </w:rPr>
        <w:t xml:space="preserve"> International. En total, el BBVA ha invertido más de 4.280,7 millones de </w:t>
      </w:r>
      <w:r w:rsidR="00AD048A">
        <w:rPr>
          <w:rFonts w:ascii="Calibri" w:eastAsia="Calibri" w:hAnsi="Calibri" w:cs="Calibri"/>
          <w:color w:val="000000"/>
          <w:sz w:val="21"/>
          <w:szCs w:val="21"/>
        </w:rPr>
        <w:t>dólares</w:t>
      </w:r>
      <w:r>
        <w:rPr>
          <w:rFonts w:ascii="Calibri" w:eastAsia="Calibri" w:hAnsi="Calibri" w:cs="Calibri"/>
          <w:color w:val="000000"/>
          <w:sz w:val="21"/>
          <w:szCs w:val="21"/>
        </w:rPr>
        <w:t xml:space="preserve"> en empresas relacionadas con el armamento nuclear. </w:t>
      </w:r>
    </w:p>
    <w:p w:rsidR="00F555C7" w:rsidRDefault="0044355B" w:rsidP="00317B99">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eastAsia="Calibri" w:hAnsi="Calibri" w:cs="Calibri"/>
          <w:color w:val="000000"/>
          <w:sz w:val="21"/>
          <w:szCs w:val="21"/>
        </w:rPr>
        <w:t>Ustedes ya deben saber que el pasado mes de enero entró en vigor el Tratado de Prohibición de las Armas Nucleares, un tratado que contribuye al pleno cumplimiento del artículo VI del Tratado de No Proliferación que ustedes mencionan y del que España es un país firmante. Tienen en sus manos cumplir con la nueva normativa y dejar de lucrarse con el controvertido negocio de las armas nucleares. Y, por otro lado, tienen también en sus manos dejar de financiar las empresas de armamento, y no sólo las que es evidente que exportan sus productos en el conflicto al Yemen, sino todas. Porque todas las armas y todas las exportaciones de armas son controvertidas.</w:t>
      </w:r>
    </w:p>
    <w:p w:rsidR="00F555C7" w:rsidRDefault="00787A54" w:rsidP="00317B99">
      <w:pPr>
        <w:pBdr>
          <w:top w:val="nil"/>
          <w:left w:val="nil"/>
          <w:bottom w:val="nil"/>
          <w:right w:val="nil"/>
          <w:between w:val="nil"/>
        </w:pBdr>
        <w:spacing w:before="280" w:after="280"/>
        <w:jc w:val="both"/>
        <w:rPr>
          <w:rFonts w:ascii="Calibri" w:eastAsia="Calibri" w:hAnsi="Calibri" w:cs="Calibri"/>
          <w:color w:val="000000"/>
          <w:sz w:val="21"/>
          <w:szCs w:val="21"/>
        </w:rPr>
      </w:pPr>
      <w:r>
        <w:rPr>
          <w:rFonts w:ascii="Calibri" w:hAnsi="Calibri" w:cs="Calibri"/>
          <w:color w:val="000000"/>
          <w:sz w:val="21"/>
          <w:szCs w:val="21"/>
        </w:rPr>
        <w:t>Como cliente/a del BBVA, debo confesar que siento una gran incomodidad y un particular disgusto en relación a sus prácticas de inversión y financiación</w:t>
      </w:r>
      <w:r w:rsidR="0044355B">
        <w:rPr>
          <w:rFonts w:ascii="Calibri" w:eastAsia="Calibri" w:hAnsi="Calibri" w:cs="Calibri"/>
          <w:color w:val="000000"/>
          <w:sz w:val="21"/>
          <w:szCs w:val="21"/>
        </w:rPr>
        <w:t xml:space="preserve">. Agradezco de antemano su atención pero, no sólo quiero que me escuchen, sino que también dejen invertir y sacar réditos del negocio de la guerra. </w:t>
      </w:r>
    </w:p>
    <w:tbl>
      <w:tblPr>
        <w:tblW w:w="9747" w:type="dxa"/>
        <w:tblBorders>
          <w:top w:val="nil"/>
          <w:left w:val="nil"/>
          <w:bottom w:val="nil"/>
          <w:right w:val="nil"/>
          <w:insideH w:val="nil"/>
          <w:insideV w:val="nil"/>
        </w:tblBorders>
        <w:tblLayout w:type="fixed"/>
        <w:tblLook w:val="0400"/>
      </w:tblPr>
      <w:tblGrid>
        <w:gridCol w:w="5303"/>
        <w:gridCol w:w="4444"/>
      </w:tblGrid>
      <w:tr w:rsidR="002A08C7" w:rsidTr="006671C7">
        <w:tc>
          <w:tcPr>
            <w:tcW w:w="5303" w:type="dxa"/>
            <w:vAlign w:val="center"/>
          </w:tcPr>
          <w:p w:rsidR="002A08C7" w:rsidRDefault="002A08C7" w:rsidP="002A08C7">
            <w:pPr>
              <w:pBdr>
                <w:top w:val="nil"/>
                <w:left w:val="nil"/>
                <w:bottom w:val="nil"/>
                <w:right w:val="nil"/>
                <w:between w:val="nil"/>
              </w:pBdr>
              <w:spacing w:after="280"/>
              <w:rPr>
                <w:rFonts w:ascii="Calibri" w:eastAsia="Calibri" w:hAnsi="Calibri" w:cs="Calibri"/>
                <w:sz w:val="21"/>
                <w:szCs w:val="21"/>
              </w:rPr>
            </w:pPr>
            <w:bookmarkStart w:id="3" w:name="_Hlk75178624"/>
            <w:r>
              <w:rPr>
                <w:rFonts w:ascii="Calibri" w:eastAsia="Calibri" w:hAnsi="Calibri" w:cs="Calibri"/>
                <w:sz w:val="21"/>
                <w:szCs w:val="21"/>
              </w:rPr>
              <w:t>M</w:t>
            </w:r>
            <w:r w:rsidRPr="002A08C7">
              <w:rPr>
                <w:rFonts w:ascii="Calibri" w:eastAsia="Calibri" w:hAnsi="Calibri" w:cs="Calibri"/>
                <w:sz w:val="21"/>
                <w:szCs w:val="21"/>
              </w:rPr>
              <w:t>uy cordialmente,</w:t>
            </w:r>
          </w:p>
          <w:p w:rsidR="002A08C7" w:rsidRDefault="002A08C7" w:rsidP="002A08C7">
            <w:pPr>
              <w:pBdr>
                <w:top w:val="nil"/>
                <w:left w:val="nil"/>
                <w:bottom w:val="nil"/>
                <w:right w:val="nil"/>
                <w:between w:val="nil"/>
              </w:pBdr>
              <w:spacing w:after="280"/>
              <w:rPr>
                <w:rFonts w:ascii="Calibri" w:eastAsia="Calibri" w:hAnsi="Calibri" w:cs="Calibri"/>
                <w:sz w:val="21"/>
                <w:szCs w:val="21"/>
              </w:rPr>
            </w:pPr>
          </w:p>
          <w:p w:rsidR="002A08C7" w:rsidRPr="002A08C7" w:rsidRDefault="002A08C7" w:rsidP="002A08C7">
            <w:pPr>
              <w:pBdr>
                <w:top w:val="nil"/>
                <w:left w:val="nil"/>
                <w:bottom w:val="nil"/>
                <w:right w:val="nil"/>
                <w:between w:val="nil"/>
              </w:pBdr>
              <w:spacing w:after="280"/>
              <w:rPr>
                <w:color w:val="FFFFFF" w:themeColor="background1"/>
                <w:sz w:val="21"/>
                <w:szCs w:val="21"/>
                <w:u w:val="single"/>
              </w:rPr>
            </w:pPr>
            <w:r>
              <w:rPr>
                <w:rFonts w:ascii="Calibri" w:eastAsia="Calibri" w:hAnsi="Calibri" w:cs="Calibri"/>
                <w:sz w:val="21"/>
                <w:szCs w:val="21"/>
                <w:u w:val="single"/>
              </w:rPr>
              <w:t xml:space="preserve">                                                                           </w:t>
            </w:r>
            <w:r w:rsidRPr="002A08C7">
              <w:rPr>
                <w:rFonts w:ascii="Calibri" w:eastAsia="Calibri" w:hAnsi="Calibri" w:cs="Calibri"/>
                <w:color w:val="FFFFFF" w:themeColor="background1"/>
                <w:sz w:val="21"/>
                <w:szCs w:val="21"/>
                <w:u w:val="single"/>
              </w:rPr>
              <w:t>.</w:t>
            </w:r>
          </w:p>
        </w:tc>
        <w:tc>
          <w:tcPr>
            <w:tcW w:w="4444" w:type="dxa"/>
            <w:vAlign w:val="center"/>
          </w:tcPr>
          <w:p w:rsidR="002A08C7" w:rsidRPr="002A08C7" w:rsidRDefault="002A08C7" w:rsidP="006671C7">
            <w:pPr>
              <w:pBdr>
                <w:top w:val="nil"/>
                <w:left w:val="nil"/>
                <w:bottom w:val="nil"/>
                <w:right w:val="nil"/>
                <w:between w:val="nil"/>
              </w:pBdr>
              <w:jc w:val="right"/>
              <w:rPr>
                <w:rFonts w:ascii="Calibri" w:eastAsia="Calibri" w:hAnsi="Calibri" w:cs="Calibri"/>
                <w:sz w:val="21"/>
                <w:szCs w:val="21"/>
              </w:rPr>
            </w:pPr>
          </w:p>
        </w:tc>
      </w:tr>
      <w:tr w:rsidR="002A08C7" w:rsidTr="006671C7">
        <w:tc>
          <w:tcPr>
            <w:tcW w:w="5303" w:type="dxa"/>
            <w:vAlign w:val="center"/>
          </w:tcPr>
          <w:p w:rsidR="002A08C7" w:rsidRDefault="002A08C7" w:rsidP="002A08C7">
            <w:pPr>
              <w:pBdr>
                <w:top w:val="nil"/>
                <w:left w:val="nil"/>
                <w:bottom w:val="nil"/>
                <w:right w:val="nil"/>
                <w:between w:val="nil"/>
              </w:pBdr>
              <w:spacing w:after="280"/>
              <w:rPr>
                <w:rFonts w:ascii="Calibri" w:eastAsia="Calibri" w:hAnsi="Calibri" w:cs="Calibri"/>
                <w:sz w:val="21"/>
                <w:szCs w:val="21"/>
              </w:rPr>
            </w:pPr>
          </w:p>
        </w:tc>
        <w:tc>
          <w:tcPr>
            <w:tcW w:w="4444" w:type="dxa"/>
            <w:vAlign w:val="center"/>
          </w:tcPr>
          <w:p w:rsidR="002A08C7" w:rsidRPr="002A08C7" w:rsidRDefault="002A08C7" w:rsidP="006671C7">
            <w:pPr>
              <w:pBdr>
                <w:top w:val="nil"/>
                <w:left w:val="nil"/>
                <w:bottom w:val="nil"/>
                <w:right w:val="nil"/>
                <w:between w:val="nil"/>
              </w:pBdr>
              <w:jc w:val="right"/>
              <w:rPr>
                <w:rFonts w:ascii="Calibri" w:eastAsia="Calibri" w:hAnsi="Calibri" w:cs="Calibri"/>
                <w:sz w:val="21"/>
                <w:szCs w:val="21"/>
              </w:rPr>
            </w:pPr>
          </w:p>
        </w:tc>
      </w:tr>
      <w:bookmarkEnd w:id="3"/>
    </w:tbl>
    <w:p w:rsidR="00F555C7" w:rsidRDefault="00F555C7">
      <w:pPr>
        <w:pBdr>
          <w:top w:val="nil"/>
          <w:left w:val="nil"/>
          <w:bottom w:val="nil"/>
          <w:right w:val="nil"/>
          <w:between w:val="nil"/>
        </w:pBdr>
        <w:spacing w:before="280"/>
        <w:jc w:val="both"/>
        <w:rPr>
          <w:rFonts w:ascii="Calibri" w:eastAsia="Calibri" w:hAnsi="Calibri" w:cs="Calibri"/>
          <w:color w:val="000000"/>
          <w:sz w:val="21"/>
          <w:szCs w:val="21"/>
        </w:rPr>
      </w:pPr>
    </w:p>
    <w:sectPr w:rsidR="00F555C7" w:rsidSect="001A61CC">
      <w:pgSz w:w="11906" w:h="16838"/>
      <w:pgMar w:top="1440" w:right="1080" w:bottom="1440" w:left="108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F555C7"/>
    <w:rsid w:val="00091048"/>
    <w:rsid w:val="00151053"/>
    <w:rsid w:val="0015786D"/>
    <w:rsid w:val="001A61CC"/>
    <w:rsid w:val="001B00E8"/>
    <w:rsid w:val="002A08C7"/>
    <w:rsid w:val="00317B99"/>
    <w:rsid w:val="00406EB9"/>
    <w:rsid w:val="0044355B"/>
    <w:rsid w:val="0069240E"/>
    <w:rsid w:val="00787A54"/>
    <w:rsid w:val="007F2922"/>
    <w:rsid w:val="00884272"/>
    <w:rsid w:val="008D7E4E"/>
    <w:rsid w:val="00AA73DE"/>
    <w:rsid w:val="00AB43AA"/>
    <w:rsid w:val="00AD048A"/>
    <w:rsid w:val="00BE302F"/>
    <w:rsid w:val="00CE5EB6"/>
    <w:rsid w:val="00D04AC6"/>
    <w:rsid w:val="00D62246"/>
    <w:rsid w:val="00DC7E6A"/>
    <w:rsid w:val="00E0032C"/>
    <w:rsid w:val="00E379CD"/>
    <w:rsid w:val="00F35621"/>
    <w:rsid w:val="00F555C7"/>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7D"/>
  </w:style>
  <w:style w:type="paragraph" w:styleId="Ttulo1">
    <w:name w:val="heading 1"/>
    <w:basedOn w:val="Normal1"/>
    <w:next w:val="Normal1"/>
    <w:rsid w:val="00AB43AA"/>
    <w:pPr>
      <w:keepNext/>
      <w:keepLines/>
      <w:spacing w:before="480" w:after="120"/>
      <w:outlineLvl w:val="0"/>
    </w:pPr>
    <w:rPr>
      <w:b/>
      <w:sz w:val="48"/>
      <w:szCs w:val="48"/>
    </w:rPr>
  </w:style>
  <w:style w:type="paragraph" w:styleId="Ttulo2">
    <w:name w:val="heading 2"/>
    <w:basedOn w:val="Normal1"/>
    <w:next w:val="Normal1"/>
    <w:rsid w:val="00AB43AA"/>
    <w:pPr>
      <w:keepNext/>
      <w:keepLines/>
      <w:spacing w:before="360" w:after="80"/>
      <w:outlineLvl w:val="1"/>
    </w:pPr>
    <w:rPr>
      <w:b/>
      <w:sz w:val="36"/>
      <w:szCs w:val="36"/>
    </w:rPr>
  </w:style>
  <w:style w:type="paragraph" w:styleId="Ttulo3">
    <w:name w:val="heading 3"/>
    <w:basedOn w:val="Normal1"/>
    <w:next w:val="Normal1"/>
    <w:rsid w:val="00AB43AA"/>
    <w:pPr>
      <w:keepNext/>
      <w:keepLines/>
      <w:spacing w:before="280" w:after="80"/>
      <w:outlineLvl w:val="2"/>
    </w:pPr>
    <w:rPr>
      <w:b/>
      <w:sz w:val="28"/>
      <w:szCs w:val="28"/>
    </w:rPr>
  </w:style>
  <w:style w:type="paragraph" w:styleId="Ttulo4">
    <w:name w:val="heading 4"/>
    <w:basedOn w:val="Normal1"/>
    <w:next w:val="Normal1"/>
    <w:rsid w:val="00AB43AA"/>
    <w:pPr>
      <w:keepNext/>
      <w:keepLines/>
      <w:spacing w:before="240" w:after="40"/>
      <w:outlineLvl w:val="3"/>
    </w:pPr>
    <w:rPr>
      <w:b/>
    </w:rPr>
  </w:style>
  <w:style w:type="paragraph" w:styleId="Ttulo5">
    <w:name w:val="heading 5"/>
    <w:basedOn w:val="Normal1"/>
    <w:next w:val="Normal1"/>
    <w:rsid w:val="00AB43AA"/>
    <w:pPr>
      <w:keepNext/>
      <w:keepLines/>
      <w:spacing w:before="220" w:after="40"/>
      <w:outlineLvl w:val="4"/>
    </w:pPr>
    <w:rPr>
      <w:b/>
      <w:sz w:val="22"/>
      <w:szCs w:val="22"/>
    </w:rPr>
  </w:style>
  <w:style w:type="paragraph" w:styleId="Ttulo6">
    <w:name w:val="heading 6"/>
    <w:basedOn w:val="Normal1"/>
    <w:next w:val="Normal1"/>
    <w:rsid w:val="00AB43A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B43AA"/>
  </w:style>
  <w:style w:type="table" w:customStyle="1" w:styleId="TableNormal">
    <w:name w:val="Table Normal"/>
    <w:rsid w:val="00AB43AA"/>
    <w:tblPr>
      <w:tblCellMar>
        <w:top w:w="0" w:type="dxa"/>
        <w:left w:w="0" w:type="dxa"/>
        <w:bottom w:w="0" w:type="dxa"/>
        <w:right w:w="0" w:type="dxa"/>
      </w:tblCellMar>
    </w:tblPr>
  </w:style>
  <w:style w:type="paragraph" w:styleId="Ttulo">
    <w:name w:val="Title"/>
    <w:basedOn w:val="Normal1"/>
    <w:next w:val="Normal1"/>
    <w:rsid w:val="00AB43AA"/>
    <w:pPr>
      <w:keepNext/>
      <w:keepLines/>
      <w:spacing w:before="480" w:after="120"/>
    </w:pPr>
    <w:rPr>
      <w:b/>
      <w:sz w:val="72"/>
      <w:szCs w:val="72"/>
    </w:rPr>
  </w:style>
  <w:style w:type="paragraph" w:customStyle="1" w:styleId="Standard">
    <w:name w:val="Standard"/>
    <w:rsid w:val="0036327D"/>
  </w:style>
  <w:style w:type="paragraph" w:customStyle="1" w:styleId="Heading">
    <w:name w:val="Heading"/>
    <w:basedOn w:val="Standard"/>
    <w:next w:val="Textbody"/>
    <w:rsid w:val="0036327D"/>
    <w:pPr>
      <w:keepNext/>
      <w:spacing w:before="240" w:after="120"/>
    </w:pPr>
    <w:rPr>
      <w:rFonts w:ascii="Liberation Sans" w:hAnsi="Liberation Sans"/>
      <w:sz w:val="28"/>
      <w:szCs w:val="28"/>
    </w:rPr>
  </w:style>
  <w:style w:type="paragraph" w:customStyle="1" w:styleId="Textbody">
    <w:name w:val="Text body"/>
    <w:basedOn w:val="Standard"/>
    <w:rsid w:val="0036327D"/>
    <w:pPr>
      <w:spacing w:after="140" w:line="288" w:lineRule="auto"/>
    </w:pPr>
  </w:style>
  <w:style w:type="paragraph" w:styleId="Lista">
    <w:name w:val="List"/>
    <w:basedOn w:val="Textbody"/>
    <w:rsid w:val="0036327D"/>
  </w:style>
  <w:style w:type="paragraph" w:styleId="Epgrafe">
    <w:name w:val="caption"/>
    <w:basedOn w:val="Standard"/>
    <w:rsid w:val="0036327D"/>
    <w:pPr>
      <w:suppressLineNumbers/>
      <w:spacing w:before="120" w:after="120"/>
    </w:pPr>
    <w:rPr>
      <w:i/>
      <w:iCs/>
    </w:rPr>
  </w:style>
  <w:style w:type="paragraph" w:customStyle="1" w:styleId="Index">
    <w:name w:val="Index"/>
    <w:basedOn w:val="Standard"/>
    <w:rsid w:val="0036327D"/>
    <w:pPr>
      <w:suppressLineNumbers/>
    </w:pPr>
  </w:style>
  <w:style w:type="paragraph" w:customStyle="1" w:styleId="TableContents">
    <w:name w:val="Table Contents"/>
    <w:basedOn w:val="Standard"/>
    <w:rsid w:val="0036327D"/>
    <w:pPr>
      <w:suppressLineNumbers/>
    </w:pPr>
  </w:style>
  <w:style w:type="paragraph" w:customStyle="1" w:styleId="TableHeading">
    <w:name w:val="Table Heading"/>
    <w:basedOn w:val="TableContents"/>
    <w:rsid w:val="0036327D"/>
    <w:pPr>
      <w:jc w:val="center"/>
    </w:pPr>
    <w:rPr>
      <w:b/>
      <w:bCs/>
    </w:rPr>
  </w:style>
  <w:style w:type="character" w:customStyle="1" w:styleId="StrongEmphasis">
    <w:name w:val="Strong Emphasis"/>
    <w:rsid w:val="0036327D"/>
    <w:rPr>
      <w:b/>
      <w:bCs/>
    </w:rPr>
  </w:style>
  <w:style w:type="character" w:styleId="Refdecomentario">
    <w:name w:val="annotation reference"/>
    <w:basedOn w:val="Fuentedeprrafopredeter"/>
    <w:uiPriority w:val="99"/>
    <w:semiHidden/>
    <w:unhideWhenUsed/>
    <w:rsid w:val="00F90B98"/>
    <w:rPr>
      <w:sz w:val="18"/>
      <w:szCs w:val="18"/>
    </w:rPr>
  </w:style>
  <w:style w:type="paragraph" w:styleId="Textocomentario">
    <w:name w:val="annotation text"/>
    <w:basedOn w:val="Normal"/>
    <w:link w:val="TextocomentarioCar"/>
    <w:uiPriority w:val="99"/>
    <w:semiHidden/>
    <w:unhideWhenUsed/>
    <w:rsid w:val="00F90B98"/>
  </w:style>
  <w:style w:type="character" w:customStyle="1" w:styleId="TextocomentarioCar">
    <w:name w:val="Texto comentario Car"/>
    <w:basedOn w:val="Fuentedeprrafopredeter"/>
    <w:link w:val="Textocomentario"/>
    <w:uiPriority w:val="99"/>
    <w:semiHidden/>
    <w:rsid w:val="00F90B98"/>
  </w:style>
  <w:style w:type="paragraph" w:styleId="Asuntodelcomentario">
    <w:name w:val="annotation subject"/>
    <w:basedOn w:val="Textocomentario"/>
    <w:next w:val="Textocomentario"/>
    <w:link w:val="AsuntodelcomentarioCar"/>
    <w:uiPriority w:val="99"/>
    <w:semiHidden/>
    <w:unhideWhenUsed/>
    <w:rsid w:val="00F90B98"/>
    <w:rPr>
      <w:b/>
      <w:bCs/>
      <w:sz w:val="20"/>
      <w:szCs w:val="20"/>
    </w:rPr>
  </w:style>
  <w:style w:type="character" w:customStyle="1" w:styleId="AsuntodelcomentarioCar">
    <w:name w:val="Asunto del comentario Car"/>
    <w:basedOn w:val="TextocomentarioCar"/>
    <w:link w:val="Asuntodelcomentario"/>
    <w:uiPriority w:val="99"/>
    <w:semiHidden/>
    <w:rsid w:val="00F90B98"/>
    <w:rPr>
      <w:b/>
      <w:bCs/>
      <w:sz w:val="20"/>
      <w:szCs w:val="20"/>
    </w:rPr>
  </w:style>
  <w:style w:type="paragraph" w:styleId="Textodeglobo">
    <w:name w:val="Balloon Text"/>
    <w:basedOn w:val="Normal"/>
    <w:link w:val="TextodegloboCar"/>
    <w:uiPriority w:val="99"/>
    <w:semiHidden/>
    <w:unhideWhenUsed/>
    <w:rsid w:val="00F90B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90B98"/>
    <w:rPr>
      <w:rFonts w:ascii="Lucida Grande" w:hAnsi="Lucida Grande" w:cs="Lucida Grande"/>
      <w:sz w:val="18"/>
      <w:szCs w:val="18"/>
    </w:rPr>
  </w:style>
  <w:style w:type="character" w:styleId="Hipervnculo">
    <w:name w:val="Hyperlink"/>
    <w:basedOn w:val="Fuentedeprrafopredeter"/>
    <w:uiPriority w:val="99"/>
    <w:unhideWhenUsed/>
    <w:rsid w:val="00F90B98"/>
    <w:rPr>
      <w:color w:val="0000FF"/>
      <w:u w:val="single"/>
    </w:rPr>
  </w:style>
  <w:style w:type="table" w:styleId="Tablaconcuadrcula">
    <w:name w:val="Table Grid"/>
    <w:basedOn w:val="Tablanormal"/>
    <w:uiPriority w:val="39"/>
    <w:rsid w:val="00F66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0FA7"/>
    <w:pPr>
      <w:spacing w:before="100" w:beforeAutospacing="1" w:after="100" w:afterAutospacing="1"/>
    </w:pPr>
    <w:rPr>
      <w:rFonts w:ascii="Times" w:hAnsi="Times" w:cs="Times New Roman"/>
      <w:sz w:val="20"/>
      <w:szCs w:val="20"/>
    </w:rPr>
  </w:style>
  <w:style w:type="paragraph" w:styleId="Subttulo">
    <w:name w:val="Subtitle"/>
    <w:basedOn w:val="Normal"/>
    <w:next w:val="Normal"/>
    <w:rsid w:val="00AB43AA"/>
    <w:pPr>
      <w:keepNext/>
      <w:keepLines/>
      <w:spacing w:before="360" w:after="80"/>
    </w:pPr>
    <w:rPr>
      <w:rFonts w:ascii="Georgia" w:eastAsia="Georgia" w:hAnsi="Georgia" w:cs="Georgia"/>
      <w:i/>
      <w:color w:val="666666"/>
      <w:sz w:val="48"/>
      <w:szCs w:val="48"/>
    </w:rPr>
  </w:style>
  <w:style w:type="table" w:customStyle="1" w:styleId="a">
    <w:basedOn w:val="TableNormal"/>
    <w:rsid w:val="00AB43AA"/>
    <w:tblPr>
      <w:tblStyleRowBandSize w:val="1"/>
      <w:tblStyleColBandSize w:val="1"/>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6224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ontbankonthebomb.com/wp-content/uploads/2019/06/2019_HOS_web.pdf" TargetMode="External"/><Relationship Id="rId5" Type="http://schemas.openxmlformats.org/officeDocument/2006/relationships/hyperlink" Target="http://www.bancaarmada.org/images/reports/Informe_48_Banca_Armada_Yemen_/DEF/informe48_cas_BancaArmada_Yeme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2I52AbcIF5EycghIwR+LGvf4w==">AMUW2mVBPc9vVwPGTTaj4BIINyyWmZyNIeNBFs0hW+0MdWVTi3DrvJfjjAapWRYYB7xxTof91Zrf7yCT8ANoo3Gu92weelxKxF+KiJP9ycEjL23RFW9gvGQ1MLr2GQ5vfb4qxAHYwxCV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1067</Words>
  <Characters>5870</Characters>
  <Application>Microsoft Office Word</Application>
  <DocSecurity>0</DocSecurity>
  <Lines>48</Lines>
  <Paragraphs>13</Paragraphs>
  <ScaleCrop>false</ScaleCrop>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 Aragón Ruiz</dc:creator>
  <cp:lastModifiedBy>Usuario de Windows</cp:lastModifiedBy>
  <cp:revision>25</cp:revision>
  <cp:lastPrinted>2021-06-21T12:14:00Z</cp:lastPrinted>
  <dcterms:created xsi:type="dcterms:W3CDTF">2021-05-10T12:21:00Z</dcterms:created>
  <dcterms:modified xsi:type="dcterms:W3CDTF">2021-06-22T11:49:00Z</dcterms:modified>
</cp:coreProperties>
</file>